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7B048E" w14:textId="77777777" w:rsidR="00324043" w:rsidRPr="006E05AF" w:rsidRDefault="00EA5D8E" w:rsidP="005C2765">
      <w:pPr>
        <w:spacing w:after="0" w:line="240" w:lineRule="auto"/>
        <w:jc w:val="center"/>
        <w:rPr>
          <w:rFonts w:cs="Cambria"/>
          <w:b/>
          <w:sz w:val="28"/>
          <w:szCs w:val="32"/>
        </w:rPr>
      </w:pPr>
      <w:r w:rsidRPr="006E05AF">
        <w:rPr>
          <w:rFonts w:cs="Cambria"/>
          <w:b/>
          <w:sz w:val="28"/>
          <w:szCs w:val="32"/>
        </w:rPr>
        <w:t>Ruang Bersama Indonesia: A Gender-Responsive and Socially Inclusive Criminal Law Policy Model</w:t>
      </w:r>
    </w:p>
    <w:p w14:paraId="7EC4D8E5" w14:textId="77777777" w:rsidR="006E05AF" w:rsidRPr="006E05AF" w:rsidRDefault="006E05AF" w:rsidP="005C2765">
      <w:pPr>
        <w:spacing w:after="0" w:line="240" w:lineRule="auto"/>
        <w:jc w:val="center"/>
        <w:rPr>
          <w:rFonts w:cs="Times New Roman"/>
          <w:b/>
          <w:sz w:val="16"/>
          <w:szCs w:val="16"/>
        </w:rPr>
      </w:pPr>
    </w:p>
    <w:p w14:paraId="5C6AC620" w14:textId="77777777" w:rsidR="00DC0D24" w:rsidRPr="00C12230" w:rsidRDefault="00B82500" w:rsidP="00DC0D24">
      <w:pPr>
        <w:spacing w:after="0" w:line="240" w:lineRule="auto"/>
        <w:jc w:val="center"/>
        <w:rPr>
          <w:rFonts w:cs="Cambria"/>
          <w:b/>
          <w:color w:val="000000"/>
          <w:szCs w:val="24"/>
        </w:rPr>
      </w:pPr>
      <w:r>
        <w:rPr>
          <w:rFonts w:cs="Cambria"/>
          <w:b/>
        </w:rPr>
        <w:t>Rosalia Dika Agustanti</w:t>
      </w:r>
      <w:r>
        <w:rPr>
          <w:rFonts w:cs="Cambria"/>
          <w:b/>
          <w:vertAlign w:val="superscript"/>
        </w:rPr>
        <w:t>1*</w:t>
      </w:r>
      <w:r>
        <w:rPr>
          <w:rFonts w:cs="Cambria"/>
          <w:b/>
        </w:rPr>
        <w:t>, Bambang Waluyo</w:t>
      </w:r>
      <w:r>
        <w:rPr>
          <w:rFonts w:cs="Cambria"/>
          <w:b/>
          <w:vertAlign w:val="superscript"/>
        </w:rPr>
        <w:t>2</w:t>
      </w:r>
      <w:r>
        <w:rPr>
          <w:rFonts w:cs="Cambria"/>
          <w:b/>
        </w:rPr>
        <w:t>, Slamet Tri Wahyudi</w:t>
      </w:r>
      <w:r>
        <w:rPr>
          <w:rFonts w:cs="Cambria"/>
          <w:b/>
          <w:vertAlign w:val="superscript"/>
        </w:rPr>
        <w:t>3</w:t>
      </w:r>
      <w:r>
        <w:rPr>
          <w:rFonts w:cs="Cambria"/>
          <w:b/>
        </w:rPr>
        <w:t>, Mirza Athaya Ghaisan Hakeem</w:t>
      </w:r>
      <w:r>
        <w:rPr>
          <w:rFonts w:cs="Cambria"/>
          <w:b/>
          <w:vertAlign w:val="superscript"/>
        </w:rPr>
        <w:t>4</w:t>
      </w:r>
      <w:r>
        <w:rPr>
          <w:rFonts w:cs="Cambria"/>
          <w:b/>
        </w:rPr>
        <w:t>, Atthariq Andradit</w:t>
      </w:r>
      <w:r>
        <w:rPr>
          <w:rFonts w:cs="Cambria"/>
          <w:b/>
          <w:vertAlign w:val="superscript"/>
        </w:rPr>
        <w:t>5</w:t>
      </w:r>
    </w:p>
    <w:p w14:paraId="073FB449" w14:textId="77777777" w:rsidR="00DC0D24" w:rsidRPr="00B82500" w:rsidRDefault="00310556" w:rsidP="00B82500">
      <w:pPr>
        <w:spacing w:after="0" w:line="240" w:lineRule="auto"/>
        <w:jc w:val="center"/>
        <w:rPr>
          <w:rFonts w:cs="Cambria"/>
          <w:color w:val="000000"/>
        </w:rPr>
      </w:pPr>
      <w:r>
        <w:rPr>
          <w:rFonts w:cs="Cambria"/>
          <w:vertAlign w:val="superscript"/>
        </w:rPr>
        <w:t>1,2,3,4,5</w:t>
      </w:r>
      <w:r>
        <w:rPr>
          <w:rFonts w:cs="Cambria"/>
        </w:rPr>
        <w:t xml:space="preserve"> Faculty of Law, Universitas Pembangunan Nasional “Veteran” Jakarta</w:t>
      </w:r>
    </w:p>
    <w:p w14:paraId="31F41542" w14:textId="77777777" w:rsidR="00DC0D24" w:rsidRDefault="00DC0D24" w:rsidP="00DC0D24">
      <w:pPr>
        <w:spacing w:after="0" w:line="240" w:lineRule="auto"/>
        <w:jc w:val="center"/>
        <w:rPr>
          <w:rFonts w:cs="Cambria"/>
          <w:i/>
          <w:iCs/>
          <w:color w:val="0563C1"/>
          <w:szCs w:val="24"/>
          <w:u w:val="single"/>
        </w:rPr>
      </w:pPr>
      <w:r>
        <w:rPr>
          <w:rFonts w:cs="Cambria"/>
          <w:i/>
        </w:rPr>
        <w:t xml:space="preserve">*Correspondence: </w:t>
      </w:r>
      <w:hyperlink r:id="rId8">
        <w:r>
          <w:rPr>
            <w:rFonts w:cs="Cambria"/>
            <w:i/>
            <w:iCs/>
            <w:color w:val="0563C1"/>
            <w:szCs w:val="24"/>
            <w:u w:val="single"/>
          </w:rPr>
          <w:t>rosaliadika@upnvj.ac.id</w:t>
        </w:r>
      </w:hyperlink>
    </w:p>
    <w:p w14:paraId="22A971CB" w14:textId="77777777" w:rsidR="006E05AF" w:rsidRPr="00310556" w:rsidRDefault="006E05AF" w:rsidP="00DC0D24">
      <w:pPr>
        <w:spacing w:after="0" w:line="240" w:lineRule="auto"/>
        <w:jc w:val="center"/>
        <w:rPr>
          <w:rFonts w:cs="Cambria"/>
          <w:i/>
          <w:color w:val="000000"/>
        </w:rPr>
      </w:pPr>
    </w:p>
    <w:tbl>
      <w:tblPr>
        <w:tblW w:w="5000" w:type="pct"/>
        <w:jc w:val="center"/>
        <w:tblLook w:val="04A0" w:firstRow="1" w:lastRow="0" w:firstColumn="1" w:lastColumn="0" w:noHBand="0" w:noVBand="1"/>
      </w:tblPr>
      <w:tblGrid>
        <w:gridCol w:w="2832"/>
        <w:gridCol w:w="2832"/>
        <w:gridCol w:w="2830"/>
      </w:tblGrid>
      <w:tr w:rsidR="00B158F9" w:rsidRPr="00EB18F9" w14:paraId="146116F0" w14:textId="77777777" w:rsidTr="00EB18F9">
        <w:trPr>
          <w:jc w:val="center"/>
        </w:trPr>
        <w:tc>
          <w:tcPr>
            <w:tcW w:w="1667" w:type="pct"/>
            <w:tcBorders>
              <w:top w:val="single" w:sz="4" w:space="0" w:color="000000"/>
              <w:left w:val="single" w:sz="4" w:space="0" w:color="000000"/>
              <w:bottom w:val="single" w:sz="4" w:space="0" w:color="000000"/>
              <w:right w:val="single" w:sz="4" w:space="0" w:color="000000"/>
            </w:tcBorders>
            <w:vAlign w:val="center"/>
          </w:tcPr>
          <w:p w14:paraId="7BE05C6A" w14:textId="30DF44E2" w:rsidR="00DF3D1A" w:rsidRPr="00EB18F9" w:rsidRDefault="00000000" w:rsidP="00EB18F9">
            <w:pPr>
              <w:spacing w:after="0" w:line="240" w:lineRule="auto"/>
              <w:jc w:val="center"/>
              <w:rPr>
                <w:rFonts w:cs="Cambria"/>
                <w:sz w:val="20"/>
                <w:szCs w:val="20"/>
              </w:rPr>
            </w:pPr>
            <w:r w:rsidRPr="00EB18F9">
              <w:rPr>
                <w:rFonts w:cs="Cambria"/>
                <w:i/>
                <w:sz w:val="20"/>
                <w:szCs w:val="20"/>
              </w:rPr>
              <w:t xml:space="preserve">Received: 1 </w:t>
            </w:r>
            <w:r w:rsidR="00D37E43">
              <w:rPr>
                <w:rFonts w:cs="Cambria"/>
                <w:i/>
                <w:sz w:val="20"/>
                <w:szCs w:val="20"/>
              </w:rPr>
              <w:t>August</w:t>
            </w:r>
            <w:r w:rsidRPr="00EB18F9">
              <w:rPr>
                <w:rFonts w:cs="Cambria"/>
                <w:i/>
                <w:sz w:val="20"/>
                <w:szCs w:val="20"/>
              </w:rPr>
              <w:t xml:space="preserve"> 2026</w:t>
            </w:r>
          </w:p>
        </w:tc>
        <w:tc>
          <w:tcPr>
            <w:tcW w:w="1667" w:type="pct"/>
            <w:tcBorders>
              <w:top w:val="single" w:sz="4" w:space="0" w:color="000000"/>
              <w:left w:val="single" w:sz="4" w:space="0" w:color="000000"/>
              <w:bottom w:val="single" w:sz="4" w:space="0" w:color="000000"/>
              <w:right w:val="single" w:sz="4" w:space="0" w:color="000000"/>
            </w:tcBorders>
            <w:vAlign w:val="center"/>
          </w:tcPr>
          <w:p w14:paraId="69464DBC" w14:textId="00979226" w:rsidR="00DF3D1A" w:rsidRPr="00EB18F9" w:rsidRDefault="00000000" w:rsidP="00EB18F9">
            <w:pPr>
              <w:spacing w:after="0" w:line="240" w:lineRule="auto"/>
              <w:jc w:val="center"/>
              <w:rPr>
                <w:rFonts w:cs="Cambria"/>
                <w:sz w:val="20"/>
                <w:szCs w:val="20"/>
              </w:rPr>
            </w:pPr>
            <w:r w:rsidRPr="00EB18F9">
              <w:rPr>
                <w:rFonts w:cs="Cambria"/>
                <w:i/>
                <w:sz w:val="20"/>
                <w:szCs w:val="20"/>
              </w:rPr>
              <w:t>Accepted: 0</w:t>
            </w:r>
            <w:r w:rsidR="002E30D8">
              <w:rPr>
                <w:rFonts w:cs="Cambria"/>
                <w:i/>
                <w:sz w:val="20"/>
                <w:szCs w:val="20"/>
              </w:rPr>
              <w:t>7</w:t>
            </w:r>
            <w:r w:rsidRPr="00EB18F9">
              <w:rPr>
                <w:rFonts w:cs="Cambria"/>
                <w:i/>
                <w:sz w:val="20"/>
                <w:szCs w:val="20"/>
              </w:rPr>
              <w:t xml:space="preserve"> September 2026</w:t>
            </w:r>
          </w:p>
        </w:tc>
        <w:tc>
          <w:tcPr>
            <w:tcW w:w="1666" w:type="pct"/>
            <w:tcBorders>
              <w:top w:val="single" w:sz="4" w:space="0" w:color="000000"/>
              <w:left w:val="single" w:sz="4" w:space="0" w:color="000000"/>
              <w:bottom w:val="single" w:sz="4" w:space="0" w:color="000000"/>
              <w:right w:val="single" w:sz="4" w:space="0" w:color="000000"/>
            </w:tcBorders>
            <w:vAlign w:val="center"/>
          </w:tcPr>
          <w:p w14:paraId="49210F9F" w14:textId="50B89E9C" w:rsidR="00DF3D1A" w:rsidRPr="00EB18F9" w:rsidRDefault="00000000" w:rsidP="00EB18F9">
            <w:pPr>
              <w:spacing w:after="0" w:line="240" w:lineRule="auto"/>
              <w:jc w:val="center"/>
              <w:rPr>
                <w:rFonts w:cs="Cambria"/>
                <w:sz w:val="20"/>
                <w:szCs w:val="20"/>
              </w:rPr>
            </w:pPr>
            <w:r w:rsidRPr="00EB18F9">
              <w:rPr>
                <w:rFonts w:cs="Cambria"/>
                <w:i/>
                <w:sz w:val="20"/>
                <w:szCs w:val="20"/>
              </w:rPr>
              <w:t xml:space="preserve">Published: </w:t>
            </w:r>
            <w:r w:rsidR="00A319B9">
              <w:rPr>
                <w:rFonts w:cs="Cambria"/>
                <w:i/>
                <w:sz w:val="20"/>
                <w:szCs w:val="20"/>
              </w:rPr>
              <w:t>20</w:t>
            </w:r>
            <w:r w:rsidRPr="00EB18F9">
              <w:rPr>
                <w:rFonts w:cs="Cambria"/>
                <w:i/>
                <w:sz w:val="20"/>
                <w:szCs w:val="20"/>
              </w:rPr>
              <w:t xml:space="preserve"> September 2026</w:t>
            </w:r>
          </w:p>
        </w:tc>
      </w:tr>
    </w:tbl>
    <w:p w14:paraId="1C245B58" w14:textId="77777777" w:rsidR="006E05AF" w:rsidRDefault="006E05AF" w:rsidP="00DC0D24">
      <w:pPr>
        <w:spacing w:after="0" w:line="240" w:lineRule="auto"/>
        <w:jc w:val="center"/>
        <w:rPr>
          <w:rFonts w:cs="Cambria"/>
          <w:b/>
          <w:color w:val="000000"/>
          <w:szCs w:val="24"/>
        </w:rPr>
      </w:pPr>
    </w:p>
    <w:p w14:paraId="6BB9B64C" w14:textId="5E4BC729" w:rsidR="00DC0D24" w:rsidRDefault="00DC0D24" w:rsidP="00DC0D24">
      <w:pPr>
        <w:spacing w:after="0" w:line="240" w:lineRule="auto"/>
        <w:jc w:val="center"/>
        <w:rPr>
          <w:rFonts w:cs="Cambria"/>
          <w:b/>
          <w:color w:val="000000"/>
          <w:szCs w:val="24"/>
        </w:rPr>
      </w:pPr>
      <w:r>
        <w:rPr>
          <w:rFonts w:cs="Cambria"/>
          <w:b/>
          <w:color w:val="000000"/>
          <w:szCs w:val="24"/>
        </w:rPr>
        <w:t>Abstrak</w:t>
      </w:r>
    </w:p>
    <w:p w14:paraId="4E937BE4" w14:textId="41926313" w:rsidR="00B82500" w:rsidRDefault="00B82500" w:rsidP="00B82500">
      <w:pPr>
        <w:spacing w:after="0" w:line="240" w:lineRule="auto"/>
        <w:jc w:val="both"/>
        <w:rPr>
          <w:rFonts w:cs="Cambria"/>
          <w:color w:val="000000"/>
          <w:lang w:val="id-ID"/>
        </w:rPr>
      </w:pPr>
      <w:r>
        <w:rPr>
          <w:rFonts w:cs="Cambria"/>
          <w:color w:val="000000"/>
          <w:lang w:val="id-ID"/>
        </w:rPr>
        <w:t>Penelitian ini menganalisis konstruksi normatif kebijakan hukum pidana dalam melindungi perempuan dan kelompok rentan serta merumuskan Ruang Bersama Indonesia sebagai model integratif kebijakan penal dan non-penal, bukan sebagai rezim hukum pidana baru. Penelitian menggunakan metode hukum normatif dengan pendekatan perundang-undangan</w:t>
      </w:r>
      <w:r w:rsidR="00F714C6">
        <w:rPr>
          <w:rFonts w:cs="Cambria"/>
          <w:color w:val="000000"/>
          <w:lang w:val="id-ID"/>
        </w:rPr>
        <w:t xml:space="preserve"> dan </w:t>
      </w:r>
      <w:r>
        <w:rPr>
          <w:rFonts w:cs="Cambria"/>
          <w:color w:val="000000"/>
          <w:lang w:val="id-ID"/>
        </w:rPr>
        <w:t>konseptual. Hasil penelitian menunjukkan bahwa perlindungan telah berkembang melalui prinsip nondiskriminasi, perlindungan korban, pengakuan relasi kuasa, aksesibilitas, akomodasi yang layak bagi penyandang disabilitas, restitusi, kompensasi, dan pemulihan, tetapi standar tersebut tetap tersebar pada berbagai instrumen dan belum sepenuhnya terhubung secara operasional. Model R</w:t>
      </w:r>
      <w:r w:rsidR="00F714C6">
        <w:rPr>
          <w:rFonts w:cs="Cambria"/>
          <w:color w:val="000000"/>
          <w:lang w:val="id-ID"/>
        </w:rPr>
        <w:t xml:space="preserve">uang </w:t>
      </w:r>
      <w:r>
        <w:rPr>
          <w:rFonts w:cs="Cambria"/>
          <w:color w:val="000000"/>
          <w:lang w:val="id-ID"/>
        </w:rPr>
        <w:t>B</w:t>
      </w:r>
      <w:r w:rsidR="00F714C6">
        <w:rPr>
          <w:rFonts w:cs="Cambria"/>
          <w:color w:val="000000"/>
          <w:lang w:val="id-ID"/>
        </w:rPr>
        <w:t xml:space="preserve">ersama </w:t>
      </w:r>
      <w:r>
        <w:rPr>
          <w:rFonts w:cs="Cambria"/>
          <w:color w:val="000000"/>
          <w:lang w:val="id-ID"/>
        </w:rPr>
        <w:t>I</w:t>
      </w:r>
      <w:r w:rsidR="00F714C6">
        <w:rPr>
          <w:rFonts w:cs="Cambria"/>
          <w:color w:val="000000"/>
          <w:lang w:val="id-ID"/>
        </w:rPr>
        <w:t>ndonesia</w:t>
      </w:r>
      <w:r>
        <w:rPr>
          <w:rFonts w:cs="Cambria"/>
          <w:color w:val="000000"/>
          <w:lang w:val="id-ID"/>
        </w:rPr>
        <w:t xml:space="preserve"> yang diusulkan menempatkan keadilan substantif sebagai tujuan, legalitas, atribusi kewenangan, hak asasi manusia, dan due process sebagai batas, serta perspektif gender dan interseksionalitas sebagai alat analisis. R</w:t>
      </w:r>
      <w:r w:rsidR="00F714C6">
        <w:rPr>
          <w:rFonts w:cs="Cambria"/>
          <w:color w:val="000000"/>
          <w:lang w:val="id-ID"/>
        </w:rPr>
        <w:t xml:space="preserve">uang </w:t>
      </w:r>
      <w:r>
        <w:rPr>
          <w:rFonts w:cs="Cambria"/>
          <w:color w:val="000000"/>
          <w:lang w:val="id-ID"/>
        </w:rPr>
        <w:t>B</w:t>
      </w:r>
      <w:r w:rsidR="00F714C6">
        <w:rPr>
          <w:rFonts w:cs="Cambria"/>
          <w:color w:val="000000"/>
          <w:lang w:val="id-ID"/>
        </w:rPr>
        <w:t xml:space="preserve">ersama </w:t>
      </w:r>
      <w:r>
        <w:rPr>
          <w:rFonts w:cs="Cambria"/>
          <w:color w:val="000000"/>
          <w:lang w:val="id-ID"/>
        </w:rPr>
        <w:t>I</w:t>
      </w:r>
      <w:r w:rsidR="00F714C6">
        <w:rPr>
          <w:rFonts w:cs="Cambria"/>
          <w:color w:val="000000"/>
          <w:lang w:val="id-ID"/>
        </w:rPr>
        <w:t>ndonesia</w:t>
      </w:r>
      <w:r>
        <w:rPr>
          <w:rFonts w:cs="Cambria"/>
          <w:color w:val="000000"/>
          <w:lang w:val="id-ID"/>
        </w:rPr>
        <w:t xml:space="preserve"> berfungsi sebagai simpul pencegahan, informasi, asesmen awal, pendampingan, dan rujukan; kewenangan penyidikan, penuntutan, peradilan, serta layanan profesional tetap berada pada lembaga yang diberi kewenangan oleh hukum. Model ini memerlukan standar asesmen kerentanan, protokol rujukan, perlindungan data, koordinasi kelembagaan, dan indikator evaluasi yang terukur.</w:t>
      </w:r>
    </w:p>
    <w:p w14:paraId="6D93C634" w14:textId="77777777" w:rsidR="00F714C6" w:rsidRDefault="00F714C6" w:rsidP="00B82500">
      <w:pPr>
        <w:spacing w:after="0" w:line="240" w:lineRule="auto"/>
        <w:jc w:val="both"/>
        <w:rPr>
          <w:rFonts w:cs="Cambria"/>
          <w:color w:val="000000"/>
          <w:lang w:val="id-ID"/>
        </w:rPr>
      </w:pPr>
    </w:p>
    <w:p w14:paraId="565C84A5" w14:textId="1986AA9B" w:rsidR="00324043" w:rsidRPr="005C2765" w:rsidRDefault="00B82500" w:rsidP="006E05AF">
      <w:pPr>
        <w:spacing w:before="120" w:after="0" w:line="240" w:lineRule="auto"/>
        <w:jc w:val="both"/>
        <w:rPr>
          <w:rFonts w:cs="Times New Roman"/>
          <w:b/>
          <w:szCs w:val="24"/>
        </w:rPr>
      </w:pPr>
      <w:r>
        <w:rPr>
          <w:rFonts w:cs="Cambria"/>
          <w:b/>
        </w:rPr>
        <w:t xml:space="preserve">Kata kunci: </w:t>
      </w:r>
      <w:r>
        <w:rPr>
          <w:rFonts w:cs="Cambria"/>
        </w:rPr>
        <w:t>kebijakan hukum pidana, perempuan, kelompok rentan, gender, inklusi sosial.</w:t>
      </w:r>
    </w:p>
    <w:p w14:paraId="3659835C" w14:textId="77777777" w:rsidR="00DC0D24" w:rsidRDefault="00DC0D24" w:rsidP="00DC0D24">
      <w:pPr>
        <w:tabs>
          <w:tab w:val="center" w:pos="4025"/>
          <w:tab w:val="left" w:pos="5966"/>
        </w:tabs>
        <w:spacing w:before="120" w:after="0" w:line="240" w:lineRule="auto"/>
        <w:jc w:val="center"/>
        <w:rPr>
          <w:rFonts w:cs="Cambria"/>
          <w:b/>
          <w:i/>
          <w:color w:val="000000"/>
          <w:szCs w:val="24"/>
        </w:rPr>
      </w:pPr>
      <w:r>
        <w:rPr>
          <w:rFonts w:cs="Cambria"/>
          <w:b/>
          <w:i/>
          <w:color w:val="000000"/>
          <w:szCs w:val="24"/>
        </w:rPr>
        <w:t>Abstract</w:t>
      </w:r>
    </w:p>
    <w:p w14:paraId="1759DA08" w14:textId="77978B47" w:rsidR="00F714C6" w:rsidRDefault="00F714C6" w:rsidP="00B82500">
      <w:pPr>
        <w:spacing w:after="0" w:line="240" w:lineRule="auto"/>
        <w:jc w:val="both"/>
        <w:rPr>
          <w:rFonts w:cs="Cambria"/>
          <w:i/>
          <w:color w:val="000000"/>
          <w:lang w:val="id-ID"/>
        </w:rPr>
      </w:pPr>
      <w:r w:rsidRPr="00F714C6">
        <w:rPr>
          <w:rFonts w:cs="Cambria"/>
          <w:i/>
          <w:color w:val="000000"/>
        </w:rPr>
        <w:t xml:space="preserve">This study analyzes the normative construction of criminal law policy in protecting women and vulnerable groups and formulates Ruang Bersama Indonesia as an integrative model of penal and non-penal policy, rather than as a new criminal law regime. This study employs a normative legal research method using statutory and conceptual approaches. The findings indicate that protection has developed through the principles of non-discrimination, victim protection, recognition of power relations, accessibility, reasonable accommodation for persons with disabilities, restitution, compensation, and recovery; however, these standards remain dispersed across various legal instruments and have not yet been fully connected operationally. The proposed Ruang Bersama Indonesia model places substantive justice as its objective, while legality, attribution of authority, human rights, and due process of law serve as boundaries, with gender perspectives and intersectionality as analytical foundations. Ruang Bersama Indonesia functions as a hub for prevention, information, initial </w:t>
      </w:r>
      <w:r w:rsidRPr="00F714C6">
        <w:rPr>
          <w:rFonts w:cs="Cambria"/>
          <w:i/>
          <w:color w:val="000000"/>
        </w:rPr>
        <w:lastRenderedPageBreak/>
        <w:t>assessment, assistance, and referral; meanwhile, investigative, prosecutorial, adjudicative, and professional service authorities remain with legally authorized institutions. This model requires vulnerability assessment standards, referral protocols, data protection mechanisms, institutional coordination, and measurable evaluation indicators.</w:t>
      </w:r>
    </w:p>
    <w:p w14:paraId="5F42A68B" w14:textId="77777777" w:rsidR="00B82500" w:rsidRPr="00B82500" w:rsidRDefault="00B82500" w:rsidP="00B82500">
      <w:pPr>
        <w:spacing w:before="120" w:after="0" w:line="240" w:lineRule="auto"/>
        <w:jc w:val="both"/>
        <w:rPr>
          <w:rFonts w:cs="Cambria"/>
          <w:i/>
          <w:color w:val="000000"/>
          <w:lang w:val="id-ID"/>
        </w:rPr>
      </w:pPr>
      <w:r>
        <w:rPr>
          <w:rFonts w:cs="Cambria"/>
          <w:b/>
          <w:i/>
        </w:rPr>
        <w:t xml:space="preserve">Keywords: </w:t>
      </w:r>
      <w:r>
        <w:rPr>
          <w:rFonts w:cs="Cambria"/>
          <w:i/>
        </w:rPr>
        <w:t>criminal law policy, women, vulnerable groups, gender, social inclusion.</w:t>
      </w:r>
    </w:p>
    <w:p w14:paraId="0F922E5A" w14:textId="77777777" w:rsidR="00DC0D24" w:rsidRDefault="00DC0D24" w:rsidP="00293F3A">
      <w:pPr>
        <w:tabs>
          <w:tab w:val="left" w:pos="567"/>
        </w:tabs>
        <w:spacing w:before="260" w:after="0" w:line="240" w:lineRule="auto"/>
        <w:rPr>
          <w:rFonts w:cs="Cambria"/>
          <w:b/>
          <w:color w:val="000000"/>
          <w:szCs w:val="24"/>
        </w:rPr>
      </w:pPr>
      <w:r>
        <w:rPr>
          <w:rFonts w:cs="Cambria"/>
          <w:b/>
          <w:color w:val="000000"/>
          <w:szCs w:val="24"/>
        </w:rPr>
        <w:t>INTRODUCTION</w:t>
      </w:r>
    </w:p>
    <w:p w14:paraId="7608F321" w14:textId="77777777" w:rsidR="00D555EA" w:rsidRPr="007F3729" w:rsidRDefault="00150CDF" w:rsidP="00D555EA">
      <w:pPr>
        <w:spacing w:after="0" w:line="240" w:lineRule="auto"/>
        <w:ind w:firstLine="567"/>
        <w:jc w:val="both"/>
        <w:rPr>
          <w:rFonts w:cs="Cambria"/>
          <w:szCs w:val="24"/>
          <w:lang w:val="id-ID"/>
        </w:rPr>
      </w:pPr>
      <w:r w:rsidRPr="00150CDF">
        <w:rPr>
          <w:rFonts w:cs="Cambria"/>
          <w:szCs w:val="24"/>
          <w:lang w:val="id-ID"/>
        </w:rPr>
        <w:t>Indonesia, as a state governed by the rule of law, has a constitutional obligation to guarantee the respect, protection, and fulfillment of human rights for every citizen without discrimination. This guarantee implies that the law should not merely provide formal equality before the law, but must also ensure protection that corresponds to the concrete circumstances of each individual. This is particularly important for women and vulnerable groups who, in social life, often face unequal power relations, economic dependency, limited access to public services, social stigma, communication barriers, and other conditions that affect their ability to obtain protection and access justice</w:t>
      </w:r>
      <w:r w:rsidR="00D555EA" w:rsidRPr="007F3729">
        <w:rPr>
          <w:rFonts w:cs="Cambria"/>
          <w:szCs w:val="24"/>
          <w:lang w:val="id-ID"/>
        </w:rPr>
        <w:t>.</w:t>
      </w:r>
      <w:r w:rsidR="007F3729">
        <w:rPr>
          <w:rStyle w:val="ReferensiCatatanKaki"/>
          <w:rFonts w:cs="Cambria"/>
          <w:szCs w:val="24"/>
          <w:lang w:val="id-ID"/>
        </w:rPr>
        <w:footnoteReference w:id="1"/>
      </w:r>
    </w:p>
    <w:p w14:paraId="50644148" w14:textId="77777777" w:rsidR="00D555EA" w:rsidRPr="007F3729" w:rsidRDefault="00150CDF" w:rsidP="00D555EA">
      <w:pPr>
        <w:spacing w:after="0" w:line="240" w:lineRule="auto"/>
        <w:ind w:firstLine="567"/>
        <w:jc w:val="both"/>
        <w:rPr>
          <w:rFonts w:cs="Cambria"/>
          <w:szCs w:val="24"/>
          <w:lang w:val="id-ID"/>
        </w:rPr>
      </w:pPr>
      <w:r w:rsidRPr="00150CDF">
        <w:rPr>
          <w:rFonts w:cs="Cambria"/>
          <w:szCs w:val="24"/>
          <w:lang w:val="id-ID"/>
        </w:rPr>
        <w:t>In the context of criminal law, this obligation places the state under responsibilities that extend beyond merely defining prohibited conduct and imposing criminal sanctions on offenders. Criminal law policy must also provide prevention, protection, access to justice, and recovery for victims</w:t>
      </w:r>
      <w:r w:rsidR="00D555EA" w:rsidRPr="007F3729">
        <w:rPr>
          <w:rFonts w:cs="Cambria"/>
          <w:szCs w:val="24"/>
          <w:lang w:val="id-ID"/>
        </w:rPr>
        <w:t>.</w:t>
      </w:r>
      <w:r w:rsidR="005058F1" w:rsidRPr="007F3729">
        <w:rPr>
          <w:rStyle w:val="ReferensiCatatanKaki"/>
          <w:rFonts w:cs="Cambria"/>
          <w:szCs w:val="24"/>
          <w:lang w:val="id-ID"/>
        </w:rPr>
        <w:footnoteReference w:id="2"/>
      </w:r>
      <w:r w:rsidR="00D555EA" w:rsidRPr="007F3729">
        <w:rPr>
          <w:rFonts w:cs="Cambria"/>
          <w:szCs w:val="24"/>
          <w:lang w:val="id-ID"/>
        </w:rPr>
        <w:t xml:space="preserve"> </w:t>
      </w:r>
      <w:r w:rsidRPr="00150CDF">
        <w:rPr>
          <w:rFonts w:cs="Cambria"/>
          <w:szCs w:val="24"/>
          <w:lang w:val="id-ID"/>
        </w:rPr>
        <w:t>Criminal law, therefore, cannot be separated from issues of gender equality and social inclusion, as the impact of criminal offenses and criminal justice processes is not necessarily experienced in the same way by every individual.</w:t>
      </w:r>
    </w:p>
    <w:p w14:paraId="31295095" w14:textId="77777777" w:rsidR="00150CDF" w:rsidRDefault="00150CDF" w:rsidP="00150CDF">
      <w:pPr>
        <w:spacing w:after="0" w:line="240" w:lineRule="auto"/>
        <w:ind w:firstLine="567"/>
        <w:jc w:val="both"/>
        <w:rPr>
          <w:rFonts w:cs="Cambria"/>
          <w:szCs w:val="24"/>
          <w:lang w:val="id-ID"/>
        </w:rPr>
      </w:pPr>
      <w:r w:rsidRPr="00150CDF">
        <w:rPr>
          <w:rFonts w:cs="Cambria"/>
          <w:szCs w:val="24"/>
          <w:lang w:val="id-ID"/>
        </w:rPr>
        <w:t>Social realities demonstrate that violence against women remains a serious concern. The 2025 Annual Report of Komnas Perempuan, which documented conditions throughout 2025, recorded 376,529 cases of gender-based violence against women, representing an increase of 14.07 percent compared with the previous year. Of these, 337,961 cases, or 89.76 percent, occurred in the personal sphere</w:t>
      </w:r>
      <w:r w:rsidR="00D555EA" w:rsidRPr="00150CDF">
        <w:rPr>
          <w:rFonts w:cs="Cambria"/>
          <w:szCs w:val="24"/>
          <w:lang w:val="id-ID"/>
        </w:rPr>
        <w:t>.</w:t>
      </w:r>
      <w:r w:rsidR="001072E2" w:rsidRPr="00150CDF">
        <w:rPr>
          <w:rStyle w:val="ReferensiCatatanKaki"/>
          <w:rFonts w:cs="Cambria"/>
          <w:szCs w:val="24"/>
          <w:lang w:val="id-ID"/>
        </w:rPr>
        <w:footnoteReference w:id="3"/>
      </w:r>
      <w:r w:rsidR="00D555EA" w:rsidRPr="007F3729">
        <w:rPr>
          <w:rFonts w:cs="Cambria"/>
          <w:szCs w:val="24"/>
          <w:lang w:val="id-ID"/>
        </w:rPr>
        <w:t xml:space="preserve"> </w:t>
      </w:r>
      <w:r w:rsidRPr="00150CDF">
        <w:rPr>
          <w:rFonts w:cs="Cambria"/>
          <w:szCs w:val="24"/>
          <w:lang w:val="id-ID"/>
        </w:rPr>
        <w:t>These figures indicate that spaces commonly perceived as the closest and safest, such as households, marriages, and personal relationships, continue to constitute highly vulnerable environments for women. Komnas Perempuan has also emphasized that the increase in recorded cases is partly associated with greater willingness among victims to report violence and the expansion of documentation systems. Accordingly, these figures should not be interpreted simply as representing the overall prevalence of violence in society.</w:t>
      </w:r>
    </w:p>
    <w:p w14:paraId="19052D69" w14:textId="77777777" w:rsidR="00150CDF" w:rsidRPr="00150CDF" w:rsidRDefault="00150CDF" w:rsidP="00150CDF">
      <w:pPr>
        <w:spacing w:after="0" w:line="240" w:lineRule="auto"/>
        <w:ind w:firstLine="567"/>
        <w:jc w:val="both"/>
        <w:rPr>
          <w:rFonts w:cs="Cambria"/>
          <w:szCs w:val="24"/>
          <w:lang w:val="id-ID"/>
        </w:rPr>
      </w:pPr>
      <w:r w:rsidRPr="00150CDF">
        <w:rPr>
          <w:rFonts w:cs="Cambria"/>
          <w:szCs w:val="24"/>
          <w:lang w:val="id-ID"/>
        </w:rPr>
        <w:t xml:space="preserve">The problem of violence has also evolved alongside changes in the spaces in which social interaction takes place. Violence no longer occurs only within domestic settings or physical public spaces, but has also expanded into digital environments. </w:t>
      </w:r>
      <w:r w:rsidRPr="00150CDF">
        <w:rPr>
          <w:rFonts w:cs="Cambria"/>
          <w:szCs w:val="24"/>
          <w:lang w:val="id-ID"/>
        </w:rPr>
        <w:lastRenderedPageBreak/>
        <w:t>Komnas Perempuan recorded 1,091 cases of online gender-based violence in 2025, 977 of which involved online sexual gender-based violence. This condition demonstrates that the concept of a safe space can no longer be limited to physical environments, but must also extend to digital spaces where people engage in social, educational, occupational, economic, and communication activities.</w:t>
      </w:r>
    </w:p>
    <w:p w14:paraId="76ABE158" w14:textId="77777777" w:rsidR="00150CDF" w:rsidRDefault="00150CDF" w:rsidP="00150CDF">
      <w:pPr>
        <w:spacing w:after="0" w:line="240" w:lineRule="auto"/>
        <w:ind w:firstLine="567"/>
        <w:jc w:val="both"/>
        <w:rPr>
          <w:rFonts w:cs="Cambria"/>
          <w:szCs w:val="24"/>
          <w:lang w:val="id-ID"/>
        </w:rPr>
      </w:pPr>
      <w:r w:rsidRPr="00150CDF">
        <w:rPr>
          <w:rFonts w:cs="Cambria"/>
          <w:szCs w:val="24"/>
          <w:lang w:val="id-ID"/>
        </w:rPr>
        <w:t>Vulnerability is also not experienced by women solely on the basis of sex or gender. Women may simultaneously be children, persons with disabilities, older persons, economically dependent individuals, members of particular social groups, or persons facing barriers in accessing legal services</w:t>
      </w:r>
      <w:r w:rsidR="00D555EA" w:rsidRPr="007F3729">
        <w:rPr>
          <w:rFonts w:cs="Cambria"/>
          <w:szCs w:val="24"/>
          <w:lang w:val="id-ID"/>
        </w:rPr>
        <w:t>.</w:t>
      </w:r>
      <w:r w:rsidR="007F3729">
        <w:rPr>
          <w:rStyle w:val="ReferensiCatatanKaki"/>
          <w:rFonts w:cs="Cambria"/>
          <w:szCs w:val="24"/>
          <w:lang w:val="id-ID"/>
        </w:rPr>
        <w:footnoteReference w:id="4"/>
      </w:r>
      <w:r>
        <w:rPr>
          <w:rFonts w:cs="Cambria"/>
          <w:szCs w:val="24"/>
          <w:lang w:val="id-ID"/>
        </w:rPr>
        <w:t xml:space="preserve"> </w:t>
      </w:r>
      <w:r w:rsidRPr="00150CDF">
        <w:rPr>
          <w:rFonts w:cs="Cambria"/>
          <w:szCs w:val="24"/>
          <w:lang w:val="id-ID"/>
        </w:rPr>
        <w:t>The intersection of these conditions may increase a person’s risk of experiencing violence while also intensifying the obstacles to obtaining protection.</w:t>
      </w:r>
      <w:r w:rsidR="00546831">
        <w:rPr>
          <w:rStyle w:val="ReferensiCatatanKaki"/>
          <w:rFonts w:cs="Cambria"/>
          <w:szCs w:val="24"/>
          <w:lang w:val="id-ID"/>
        </w:rPr>
        <w:footnoteReference w:id="5"/>
      </w:r>
      <w:r w:rsidR="00D555EA" w:rsidRPr="007F3729">
        <w:rPr>
          <w:rFonts w:cs="Cambria"/>
          <w:szCs w:val="24"/>
          <w:lang w:val="id-ID"/>
        </w:rPr>
        <w:t xml:space="preserve"> </w:t>
      </w:r>
      <w:r w:rsidRPr="00150CDF">
        <w:rPr>
          <w:rFonts w:cs="Cambria"/>
          <w:szCs w:val="24"/>
          <w:lang w:val="id-ID"/>
        </w:rPr>
        <w:t>Therefore, issues concerning women and vulnerable groups cannot be adequately analyzed through a single category of identity, but require an approach capable of identifying overlapping or intersectional vulnerabilities.</w:t>
      </w:r>
    </w:p>
    <w:p w14:paraId="3AF0E2C2" w14:textId="77777777" w:rsidR="00D555EA" w:rsidRPr="007F3729" w:rsidRDefault="00150CDF" w:rsidP="00150CDF">
      <w:pPr>
        <w:spacing w:after="0" w:line="240" w:lineRule="auto"/>
        <w:ind w:firstLine="567"/>
        <w:jc w:val="both"/>
        <w:rPr>
          <w:rFonts w:cs="Cambria"/>
          <w:szCs w:val="24"/>
          <w:lang w:val="id-ID"/>
        </w:rPr>
      </w:pPr>
      <w:r w:rsidRPr="00150CDF">
        <w:rPr>
          <w:rFonts w:cs="Cambria"/>
          <w:szCs w:val="24"/>
          <w:lang w:val="id-ID"/>
        </w:rPr>
        <w:t>On the other hand, the legal framework in Indonesia demonstrates that a relatively broad regulatory structure has already been established to protect women and vulnerable groups. Law Number 23 of 2004 on the Elimination of Domestic Violence, for example, explicitly recognizes domestic violence as a violation of human rights and an offense against human dignity, while also acknowledging that victims, the majority of whom are women, require protection from both the state and society</w:t>
      </w:r>
      <w:r w:rsidR="00D555EA" w:rsidRPr="007F3729">
        <w:rPr>
          <w:rFonts w:cs="Cambria"/>
          <w:szCs w:val="24"/>
          <w:lang w:val="id-ID"/>
        </w:rPr>
        <w:t>.</w:t>
      </w:r>
      <w:r w:rsidR="007F3729">
        <w:rPr>
          <w:rStyle w:val="ReferensiCatatanKaki"/>
          <w:rFonts w:cs="Cambria"/>
          <w:szCs w:val="24"/>
          <w:lang w:val="id-ID"/>
        </w:rPr>
        <w:footnoteReference w:id="6"/>
      </w:r>
    </w:p>
    <w:p w14:paraId="4637F4A2" w14:textId="77777777" w:rsidR="00BD77D3" w:rsidRDefault="00150CDF" w:rsidP="00BD77D3">
      <w:pPr>
        <w:spacing w:after="0" w:line="240" w:lineRule="auto"/>
        <w:ind w:firstLine="567"/>
        <w:jc w:val="both"/>
        <w:rPr>
          <w:rFonts w:cs="Cambria"/>
          <w:szCs w:val="24"/>
          <w:lang w:val="id-ID"/>
        </w:rPr>
      </w:pPr>
      <w:r w:rsidRPr="00150CDF">
        <w:rPr>
          <w:rFonts w:cs="Cambria"/>
          <w:szCs w:val="24"/>
          <w:lang w:val="id-ID"/>
        </w:rPr>
        <w:t>Further strengthening was introduced through Law Number 12 of 2022 on Sexual Violence Crimes. This law represents an important development because policies addressing sexual violence are no longer confined to the punishment of offenders, but also encompass prevention, handling, victim protection and recovery, law enforcement, offender rehabilitation, the creation of environments free from sexual violence, and guarantees of non-recurrence</w:t>
      </w:r>
      <w:r w:rsidR="00D555EA" w:rsidRPr="007F3729">
        <w:rPr>
          <w:rFonts w:cs="Cambria"/>
          <w:szCs w:val="24"/>
          <w:lang w:val="id-ID"/>
        </w:rPr>
        <w:t>.</w:t>
      </w:r>
      <w:r w:rsidR="00546831">
        <w:rPr>
          <w:rStyle w:val="ReferensiCatatanKaki"/>
          <w:rFonts w:cs="Cambria"/>
          <w:szCs w:val="24"/>
          <w:lang w:val="id-ID"/>
        </w:rPr>
        <w:footnoteReference w:id="7"/>
      </w:r>
      <w:r>
        <w:rPr>
          <w:rFonts w:cs="Cambria"/>
          <w:szCs w:val="24"/>
          <w:lang w:val="id-ID"/>
        </w:rPr>
        <w:t xml:space="preserve"> </w:t>
      </w:r>
      <w:r w:rsidRPr="00150CDF">
        <w:rPr>
          <w:rFonts w:cs="Cambria"/>
          <w:szCs w:val="24"/>
          <w:lang w:val="id-ID"/>
        </w:rPr>
        <w:t>Accordingly, the law introduces a more victim-oriented paradigm and broadens the objectives of criminal law from punishment alone toward protection and recovery.</w:t>
      </w:r>
    </w:p>
    <w:p w14:paraId="6BB0C19E" w14:textId="77777777" w:rsidR="00D555EA" w:rsidRPr="00BD77D3" w:rsidRDefault="00BD77D3" w:rsidP="00BD77D3">
      <w:pPr>
        <w:spacing w:after="0" w:line="240" w:lineRule="auto"/>
        <w:ind w:firstLine="567"/>
        <w:jc w:val="both"/>
        <w:rPr>
          <w:rFonts w:cs="Cambria"/>
          <w:szCs w:val="24"/>
          <w:lang w:val="id-ID"/>
        </w:rPr>
      </w:pPr>
      <w:r w:rsidRPr="00BD77D3">
        <w:rPr>
          <w:rFonts w:cs="Cambria"/>
          <w:szCs w:val="24"/>
          <w:lang w:val="id-ID"/>
        </w:rPr>
        <w:t>Protection for vulnerable groups has also been strengthened through Law Number 8 of 2016 on Persons with Disabilities, together with Government Regulation Number 39 of 2020 on Reasonable Accommodation for Persons with Disabilities in Judicial Proceedings</w:t>
      </w:r>
      <w:r w:rsidR="00D555EA" w:rsidRPr="00BD77D3">
        <w:rPr>
          <w:rFonts w:cs="Cambria"/>
          <w:szCs w:val="24"/>
          <w:lang w:val="id-ID"/>
        </w:rPr>
        <w:t>.</w:t>
      </w:r>
      <w:r w:rsidR="007F3729" w:rsidRPr="00BD77D3">
        <w:rPr>
          <w:rStyle w:val="ReferensiCatatanKaki"/>
          <w:rFonts w:cs="Cambria"/>
          <w:szCs w:val="24"/>
          <w:lang w:val="id-ID"/>
        </w:rPr>
        <w:footnoteReference w:id="8"/>
      </w:r>
      <w:r w:rsidR="00D555EA" w:rsidRPr="00BD77D3">
        <w:rPr>
          <w:rFonts w:cs="Cambria"/>
          <w:szCs w:val="24"/>
          <w:lang w:val="id-ID"/>
        </w:rPr>
        <w:t xml:space="preserve"> </w:t>
      </w:r>
      <w:r w:rsidRPr="00BD77D3">
        <w:rPr>
          <w:rFonts w:cs="Cambria"/>
          <w:szCs w:val="24"/>
          <w:lang w:val="id-ID"/>
        </w:rPr>
        <w:t xml:space="preserve">The Government Regulation provides for services, facilities and infrastructure, personal assessments, disability assistants, </w:t>
      </w:r>
      <w:r w:rsidRPr="00BD77D3">
        <w:rPr>
          <w:rFonts w:cs="Cambria"/>
          <w:szCs w:val="24"/>
          <w:lang w:val="id-ID"/>
        </w:rPr>
        <w:lastRenderedPageBreak/>
        <w:t>and interpreters within judicial proceedings. These provisions reflect the principle that equality before the law does not always require identical treatment for everyone. In certain circumstances, specific adjustments are necessary to enable individuals to participate equally in legal proceedings.</w:t>
      </w:r>
    </w:p>
    <w:p w14:paraId="7700B146" w14:textId="77777777" w:rsidR="00D555EA" w:rsidRPr="00BD77D3" w:rsidRDefault="00BD77D3" w:rsidP="00BD77D3">
      <w:pPr>
        <w:spacing w:after="0" w:line="240" w:lineRule="auto"/>
        <w:ind w:firstLine="567"/>
        <w:jc w:val="both"/>
        <w:rPr>
          <w:rFonts w:cs="Cambria"/>
          <w:szCs w:val="24"/>
          <w:lang w:val="id-ID"/>
        </w:rPr>
      </w:pPr>
      <w:r w:rsidRPr="00BD77D3">
        <w:rPr>
          <w:rFonts w:cs="Cambria"/>
          <w:szCs w:val="24"/>
          <w:lang w:val="id-ID"/>
        </w:rPr>
        <w:t>For children, legal protection has been reinforced, among others, through Law Number 35 of 2014 amending the Child Protection Law, which affirms children’s right to protection from violence and discrimination</w:t>
      </w:r>
      <w:r w:rsidR="00D555EA" w:rsidRPr="00BD77D3">
        <w:rPr>
          <w:rFonts w:cs="Cambria"/>
          <w:szCs w:val="24"/>
          <w:lang w:val="id-ID"/>
        </w:rPr>
        <w:t>.</w:t>
      </w:r>
      <w:r w:rsidR="007F3729" w:rsidRPr="00BD77D3">
        <w:rPr>
          <w:rStyle w:val="ReferensiCatatanKaki"/>
          <w:rFonts w:cs="Cambria"/>
          <w:szCs w:val="24"/>
          <w:lang w:val="id-ID"/>
        </w:rPr>
        <w:footnoteReference w:id="9"/>
      </w:r>
      <w:r w:rsidR="00D555EA" w:rsidRPr="00BD77D3">
        <w:rPr>
          <w:rFonts w:cs="Cambria"/>
          <w:szCs w:val="24"/>
          <w:lang w:val="id-ID"/>
        </w:rPr>
        <w:t xml:space="preserve"> </w:t>
      </w:r>
      <w:r w:rsidRPr="00BD77D3">
        <w:rPr>
          <w:rFonts w:cs="Cambria"/>
          <w:szCs w:val="24"/>
          <w:lang w:val="id-ID"/>
        </w:rPr>
        <w:t>Meanwhile, protection for witnesses and victims has been strengthened through Law Number 3 of 2026 on Witness and Victim Protection, which places guarantees of protection for witnesses and victims as an important component of the criminal justice process.</w:t>
      </w:r>
    </w:p>
    <w:p w14:paraId="709DB367" w14:textId="77777777" w:rsidR="00D555EA" w:rsidRPr="00BD77D3" w:rsidRDefault="00BD77D3" w:rsidP="00BD77D3">
      <w:pPr>
        <w:spacing w:after="0" w:line="240" w:lineRule="auto"/>
        <w:ind w:firstLine="567"/>
        <w:jc w:val="both"/>
        <w:rPr>
          <w:rFonts w:cs="Cambria"/>
          <w:szCs w:val="24"/>
          <w:lang w:val="id-ID"/>
        </w:rPr>
      </w:pPr>
      <w:r w:rsidRPr="00BD77D3">
        <w:rPr>
          <w:rFonts w:cs="Cambria"/>
          <w:szCs w:val="24"/>
          <w:lang w:val="id-ID"/>
        </w:rPr>
        <w:t>Within the judicial system, the Supreme Court has also issued Supreme Court Regulation Number 3 of 2017 on Guidelines for Adjudicating Cases Involving Women in Conflict with the Law</w:t>
      </w:r>
      <w:r w:rsidR="00D555EA" w:rsidRPr="00BD77D3">
        <w:rPr>
          <w:rFonts w:cs="Cambria"/>
          <w:szCs w:val="24"/>
          <w:lang w:val="id-ID"/>
        </w:rPr>
        <w:t>.</w:t>
      </w:r>
      <w:r w:rsidR="007F3729" w:rsidRPr="00BD77D3">
        <w:rPr>
          <w:rStyle w:val="ReferensiCatatanKaki"/>
          <w:rFonts w:cs="Cambria"/>
          <w:szCs w:val="24"/>
          <w:lang w:val="id-ID"/>
        </w:rPr>
        <w:footnoteReference w:id="10"/>
      </w:r>
      <w:r w:rsidR="00D555EA" w:rsidRPr="00BD77D3">
        <w:rPr>
          <w:rFonts w:cs="Cambria"/>
          <w:szCs w:val="24"/>
          <w:lang w:val="id-ID"/>
        </w:rPr>
        <w:t xml:space="preserve"> </w:t>
      </w:r>
      <w:r w:rsidRPr="00BD77D3">
        <w:rPr>
          <w:rFonts w:cs="Cambria"/>
          <w:szCs w:val="24"/>
          <w:lang w:val="id-ID"/>
        </w:rPr>
        <w:t>This regulation provides guidance for judges in handling cases involving women and incorporates considerations relating to gender equality, discrimination, stereotypes, and the particular circumstances of women during judicial proceedings.</w:t>
      </w:r>
    </w:p>
    <w:p w14:paraId="6CF862B0" w14:textId="77777777" w:rsidR="00D555EA" w:rsidRPr="007F3729" w:rsidRDefault="00BD77D3" w:rsidP="00BD77D3">
      <w:pPr>
        <w:spacing w:after="0" w:line="240" w:lineRule="auto"/>
        <w:ind w:firstLine="567"/>
        <w:jc w:val="both"/>
        <w:rPr>
          <w:rFonts w:cs="Cambria"/>
          <w:szCs w:val="24"/>
          <w:lang w:val="id-ID"/>
        </w:rPr>
      </w:pPr>
      <w:r>
        <w:rPr>
          <w:rFonts w:cs="Cambria"/>
          <w:szCs w:val="24"/>
          <w:lang w:val="id-ID"/>
        </w:rPr>
        <w:t>Another significant development is the reform of Indonesia’s national criminal law framework. Law Number 1 of 2023 on the Criminal Code entered into force on 2 January 2026. On the same date, Law Number 20 of 2025 on the Criminal Procedure Code entered into force and repealed Law Number 8 of 1981. The new Criminal Procedure Code strengthens the procedural position of suspects, defendants, convicted persons, witnesses, victims, and persons with disabilities and regulates, among other matters, restorative justice, compensation, restitution, rehabilitation, and the role of advocates.</w:t>
      </w:r>
      <w:r>
        <w:rPr>
          <w:rFonts w:cs="Cambria"/>
          <w:szCs w:val="24"/>
          <w:vertAlign w:val="superscript"/>
          <w:lang w:val="id-ID"/>
        </w:rPr>
        <w:footnoteReference w:id="11"/>
      </w:r>
      <w:r>
        <w:rPr>
          <w:rFonts w:cs="Cambria"/>
          <w:szCs w:val="24"/>
          <w:lang w:val="id-ID"/>
        </w:rPr>
        <w:t xml:space="preserve"> This study uses the law in force as of the research cut-off date and treats the new Criminal Procedure Code as the current procedural baseline.</w:t>
      </w:r>
    </w:p>
    <w:p w14:paraId="0FEEE5EA"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The new Criminal Procedure Code also gives specific attention to women in conflict with the law. Article 147, among other provisions, guarantees that women are treated free from degrading, blaming, or intimidating attitudes and statements during examination proceedings. This development demonstrates that protective perspectives, which had previously developed through judicial guidelines, have now obtained a stronger legal basis within Indonesia’s national criminal procedural law.</w:t>
      </w:r>
    </w:p>
    <w:p w14:paraId="5AF6EBBE" w14:textId="2CB61583"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From a normative perspective, these developments indicate significant progress. The ideal condition</w:t>
      </w:r>
      <w:r w:rsidR="00956FFD">
        <w:rPr>
          <w:rFonts w:cs="Cambria"/>
          <w:szCs w:val="24"/>
          <w:lang w:val="id-ID"/>
        </w:rPr>
        <w:t xml:space="preserve"> </w:t>
      </w:r>
      <w:r w:rsidRPr="00C12230">
        <w:rPr>
          <w:rFonts w:cs="Cambria"/>
          <w:szCs w:val="24"/>
          <w:lang w:val="id-ID"/>
        </w:rPr>
        <w:t xml:space="preserve">is the establishment of a criminal justice system capable of ensuring both legal certainty and substantive justice. Every person should receive effective protection without discrimination; victims should have access to security, information, assistance, and recovery; persons with disabilities should receive reasonable accommodation; women should be protected from stereotypes and revictimization; children should receive protection based on their best </w:t>
      </w:r>
      <w:r w:rsidRPr="00C12230">
        <w:rPr>
          <w:rFonts w:cs="Cambria"/>
          <w:szCs w:val="24"/>
          <w:lang w:val="id-ID"/>
        </w:rPr>
        <w:lastRenderedPageBreak/>
        <w:t xml:space="preserve">interests; while suspects and defendants should continue to enjoy the presumption of innocence, the right to defense, and </w:t>
      </w:r>
      <w:r w:rsidRPr="00C12230">
        <w:rPr>
          <w:rFonts w:cs="Cambria"/>
          <w:i/>
          <w:iCs/>
          <w:szCs w:val="24"/>
          <w:lang w:val="id-ID"/>
        </w:rPr>
        <w:t>due process of law</w:t>
      </w:r>
      <w:r w:rsidRPr="00C12230">
        <w:rPr>
          <w:rFonts w:cs="Cambria"/>
          <w:szCs w:val="24"/>
          <w:lang w:val="id-ID"/>
        </w:rPr>
        <w:t>. Thus, gender and social inclusion perspectives are not intended to diminish the universality of law, but rather to ensure that universal legal principles can be effectively enjoyed by individuals with different conditions and circumstances.</w:t>
      </w:r>
    </w:p>
    <w:p w14:paraId="4DBEB888"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 xml:space="preserve">However, reality reveals a gap between </w:t>
      </w:r>
      <w:r w:rsidRPr="00C12230">
        <w:rPr>
          <w:rFonts w:cs="Cambria"/>
          <w:i/>
          <w:iCs/>
          <w:szCs w:val="24"/>
          <w:lang w:val="id-ID"/>
        </w:rPr>
        <w:t>normative recognition</w:t>
      </w:r>
      <w:r w:rsidRPr="00C12230">
        <w:rPr>
          <w:rFonts w:cs="Cambria"/>
          <w:szCs w:val="24"/>
          <w:lang w:val="id-ID"/>
        </w:rPr>
        <w:t xml:space="preserve"> and </w:t>
      </w:r>
      <w:r w:rsidRPr="00C12230">
        <w:rPr>
          <w:rFonts w:cs="Cambria"/>
          <w:i/>
          <w:iCs/>
          <w:szCs w:val="24"/>
          <w:lang w:val="id-ID"/>
        </w:rPr>
        <w:t>effective protection</w:t>
      </w:r>
      <w:r w:rsidRPr="00C12230">
        <w:rPr>
          <w:rFonts w:cs="Cambria"/>
          <w:szCs w:val="24"/>
          <w:lang w:val="id-ID"/>
        </w:rPr>
        <w:t>. The existence of numerous regulations does not automatically result in effective protection. Komnas Perempuan, for example, continues to identify disparities between the number of reports, prosecution processes, and court decisions in cases involving violence against women. In 2026, the institution also observed that although Indonesia had developed various legal and institutional instruments since ratifying CEDAW through Law Number 7 of 1984, regulatory progress had not fully eliminated discrimination and violence against women.</w:t>
      </w:r>
    </w:p>
    <w:p w14:paraId="28BA1173" w14:textId="77777777" w:rsidR="00C12230" w:rsidRPr="00C12230" w:rsidRDefault="00C12230" w:rsidP="00C12230">
      <w:pPr>
        <w:spacing w:after="0" w:line="240" w:lineRule="auto"/>
        <w:ind w:firstLine="567"/>
        <w:jc w:val="both"/>
        <w:rPr>
          <w:rFonts w:cs="Cambria"/>
          <w:szCs w:val="24"/>
          <w:lang w:val="id-ID"/>
        </w:rPr>
      </w:pPr>
      <w:r>
        <w:rPr>
          <w:rFonts w:cs="Cambria"/>
          <w:szCs w:val="24"/>
          <w:lang w:val="id-ID"/>
        </w:rPr>
        <w:t>The first problem is normative fragmentation. Fragmentation does not mean merely that rules are located in different instruments; it arises when connected problems are governed through different protected interests, procedures, responsible institutions, or remedial standards. For example, the Sexual Violence Crimes Law provides a victim-centred architecture for handling, protection, recovery, and restitution; disability law creates legally enforceable accessibility and reasonable-accommodation duties for persons with disabilities; the Witness and Victim Protection Law regulates protection and victim remedies; while general criminal procedure determines investigative and adjudicative powers. A victim who is simultaneously a woman, a person with disability, and a witness may therefore depend on several instruments whose protections must be coordinated without conflating their legal bases.</w:t>
      </w:r>
    </w:p>
    <w:p w14:paraId="053C2CAB"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The second problem concerns the formal neutrality of law. A legal norm may be formulated in language that applies generally to everyone, but its implementation does not necessarily produce the same impact. Women who are economically dependent on perpetrators, children who are not yet capable of understanding legal proceedings, persons with disabilities who face communication barriers, or victims who are situated within unequal power relations require different forms of protection. If these conditions are ignored, formally equal treatment may instead reproduce existing inequalities.</w:t>
      </w:r>
    </w:p>
    <w:p w14:paraId="708A3EF6"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 xml:space="preserve">The third problem concerns legal culture and the paradigm of law enforcement. The existence of progressive norms does not automatically eliminate gender stereotypes, </w:t>
      </w:r>
      <w:r w:rsidRPr="00C12230">
        <w:rPr>
          <w:rFonts w:cs="Cambria"/>
          <w:i/>
          <w:iCs/>
          <w:szCs w:val="24"/>
          <w:lang w:val="id-ID"/>
        </w:rPr>
        <w:t>victim blaming</w:t>
      </w:r>
      <w:r w:rsidRPr="00C12230">
        <w:rPr>
          <w:rFonts w:cs="Cambria"/>
          <w:szCs w:val="24"/>
          <w:lang w:val="id-ID"/>
        </w:rPr>
        <w:t>, discrimination, or neglect of the needs of vulnerable groups. The necessity of Supreme Court Regulation Number 3 of 2017 and various technical training programs for judges itself demonstrates that handling cases involving women in conflict with the law requires specific knowledge and perspectives so that judicial processes do not produce new forms of injustice.</w:t>
      </w:r>
    </w:p>
    <w:p w14:paraId="029E4EF8"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 xml:space="preserve">The fourth problem is the continued dominance of a reactive orientation in criminal policy, whereby legal intervention occurs primarily after a criminal offense has taken place. Yet the high incidence of violence within personal relationships and the expansion of violence into digital spaces demonstrate that legal policy cannot rely solely on criminalization and punishment. Prevention, education, the strengthening of social environments, accessible reporting mechanisms, vulnerability detection, assistance, and stronger connections between communities </w:t>
      </w:r>
      <w:r w:rsidRPr="00C12230">
        <w:rPr>
          <w:rFonts w:cs="Cambria"/>
          <w:szCs w:val="24"/>
          <w:lang w:val="id-ID"/>
        </w:rPr>
        <w:lastRenderedPageBreak/>
        <w:t>and state institutions must also be positioned as integral components of protection policy.</w:t>
      </w:r>
    </w:p>
    <w:p w14:paraId="0E482D47" w14:textId="597D85A4" w:rsidR="00C12230" w:rsidRPr="00C12230" w:rsidRDefault="00C12230" w:rsidP="00C12230">
      <w:pPr>
        <w:spacing w:after="0" w:line="240" w:lineRule="auto"/>
        <w:ind w:firstLine="567"/>
        <w:jc w:val="both"/>
        <w:rPr>
          <w:rFonts w:cs="Cambria"/>
          <w:szCs w:val="24"/>
          <w:lang w:val="id-ID"/>
        </w:rPr>
      </w:pPr>
      <w:r>
        <w:rPr>
          <w:rFonts w:cs="Cambria"/>
          <w:szCs w:val="24"/>
          <w:lang w:val="id-ID"/>
        </w:rPr>
        <w:t>Ruang Bersama Indonesi</w:t>
      </w:r>
      <w:r w:rsidR="00956FFD">
        <w:rPr>
          <w:rFonts w:cs="Cambria"/>
          <w:szCs w:val="24"/>
          <w:lang w:val="id-ID"/>
        </w:rPr>
        <w:t>a</w:t>
      </w:r>
      <w:r>
        <w:rPr>
          <w:rFonts w:cs="Cambria"/>
          <w:szCs w:val="24"/>
          <w:lang w:val="id-ID"/>
        </w:rPr>
        <w:t xml:space="preserve"> is relevant to this problem as an existing community-oriented public policy initiative, not as a legal regime created by this article. The Ministry of Women’s Empowerment and Child Protection initiated RBI as a collaborative approach to women’s empowerment and child protection at village and subdistrict level. The official framework emphasizes collaboration among government, communities, and stakeholders and was institutionalized through Ministerial Decree Number 112 of 2025 concerning the Ruang Bersama Indonesia Organizing Team.</w:t>
      </w:r>
      <w:r>
        <w:rPr>
          <w:rFonts w:cs="Cambria"/>
          <w:szCs w:val="24"/>
          <w:vertAlign w:val="superscript"/>
          <w:lang w:val="id-ID"/>
        </w:rPr>
        <w:footnoteReference w:id="12"/>
      </w:r>
    </w:p>
    <w:p w14:paraId="01FDC495" w14:textId="4F42D47B" w:rsidR="00C12230" w:rsidRPr="00C12230" w:rsidRDefault="00C12230" w:rsidP="00C12230">
      <w:pPr>
        <w:spacing w:after="0" w:line="240" w:lineRule="auto"/>
        <w:ind w:firstLine="567"/>
        <w:jc w:val="both"/>
        <w:rPr>
          <w:rFonts w:cs="Cambria"/>
          <w:szCs w:val="24"/>
          <w:lang w:val="id-ID"/>
        </w:rPr>
      </w:pPr>
      <w:r>
        <w:rPr>
          <w:rFonts w:cs="Cambria"/>
          <w:szCs w:val="24"/>
          <w:lang w:val="id-ID"/>
        </w:rPr>
        <w:t xml:space="preserve">The official RBI policy should be distinguished from the conceptual extension proposed in this article. The existing programme is directed principally toward women’s empowerment and child protection and operates through community collaboration. This study does not claim that </w:t>
      </w:r>
      <w:r w:rsidR="00956FFD">
        <w:rPr>
          <w:rFonts w:cs="Cambria"/>
          <w:szCs w:val="24"/>
          <w:lang w:val="id-ID"/>
        </w:rPr>
        <w:t>Ruang Bersama Indonesia</w:t>
      </w:r>
      <w:r>
        <w:rPr>
          <w:rFonts w:cs="Cambria"/>
          <w:szCs w:val="24"/>
          <w:lang w:val="id-ID"/>
        </w:rPr>
        <w:t xml:space="preserve"> already possesses criminal-procedure authority or a statutory mandate over every vulnerable group. It asks instead which </w:t>
      </w:r>
      <w:r w:rsidR="00956FFD">
        <w:rPr>
          <w:rFonts w:cs="Cambria"/>
          <w:szCs w:val="24"/>
          <w:lang w:val="id-ID"/>
        </w:rPr>
        <w:t>Ruang Bersama Indonesia</w:t>
      </w:r>
      <w:r>
        <w:rPr>
          <w:rFonts w:cs="Cambria"/>
          <w:szCs w:val="24"/>
          <w:lang w:val="id-ID"/>
        </w:rPr>
        <w:t xml:space="preserve"> functions can lawfully support criminal-law policy without displacing institutions whose powers derive from statute.</w:t>
      </w:r>
    </w:p>
    <w:p w14:paraId="7F6B2CB1" w14:textId="77777777" w:rsidR="00C12230" w:rsidRPr="00C12230" w:rsidRDefault="00C12230" w:rsidP="00C12230">
      <w:pPr>
        <w:spacing w:after="0" w:line="240" w:lineRule="auto"/>
        <w:ind w:firstLine="567"/>
        <w:jc w:val="both"/>
        <w:rPr>
          <w:rFonts w:cs="Cambria"/>
          <w:szCs w:val="24"/>
          <w:lang w:val="id-ID"/>
        </w:rPr>
      </w:pPr>
      <w:r>
        <w:rPr>
          <w:rFonts w:cs="Cambria"/>
          <w:szCs w:val="24"/>
          <w:lang w:val="id-ID"/>
        </w:rPr>
        <w:t>Accordingly, RBI is conceptualized here as an integrative policy model linking penal and non-penal measures. It cannot create criminal offences, impose sanctions, conduct coercive investigative measures, prosecute cases, adjudicate guilt, or replace specialized professional services. Those functions remain governed by the principle of legality, attribution or delegation of public authority, and due process. RBI may lawfully contribute through prevention, legal literacy, initial risk identification, safe reporting access, non-coercive assistance, service navigation, and referral to competent institutions.</w:t>
      </w:r>
    </w:p>
    <w:p w14:paraId="4D9E74B8" w14:textId="0A2B291B" w:rsidR="00C12230" w:rsidRPr="00C12230" w:rsidRDefault="00C12230" w:rsidP="00C12230">
      <w:pPr>
        <w:spacing w:after="0" w:line="240" w:lineRule="auto"/>
        <w:ind w:firstLine="567"/>
        <w:jc w:val="both"/>
        <w:rPr>
          <w:rFonts w:cs="Cambria"/>
          <w:szCs w:val="24"/>
          <w:lang w:val="id-ID"/>
        </w:rPr>
      </w:pPr>
      <w:r>
        <w:rPr>
          <w:rFonts w:cs="Cambria"/>
          <w:szCs w:val="24"/>
          <w:lang w:val="id-ID"/>
        </w:rPr>
        <w:t xml:space="preserve">Within those limits, </w:t>
      </w:r>
      <w:r w:rsidR="00956FFD">
        <w:rPr>
          <w:rFonts w:cs="Cambria"/>
          <w:szCs w:val="24"/>
          <w:lang w:val="id-ID"/>
        </w:rPr>
        <w:t>Ruang Bersama Indonesia</w:t>
      </w:r>
      <w:r>
        <w:rPr>
          <w:rFonts w:cs="Cambria"/>
          <w:szCs w:val="24"/>
          <w:lang w:val="id-ID"/>
        </w:rPr>
        <w:t xml:space="preserve"> can connect community-level prevention with formal protection and justice mechanisms. A report received through an </w:t>
      </w:r>
      <w:r w:rsidR="00956FFD">
        <w:rPr>
          <w:rFonts w:cs="Cambria"/>
          <w:szCs w:val="24"/>
          <w:lang w:val="id-ID"/>
        </w:rPr>
        <w:t>Ruang Bersama Indonesia</w:t>
      </w:r>
      <w:r>
        <w:rPr>
          <w:rFonts w:cs="Cambria"/>
          <w:szCs w:val="24"/>
          <w:lang w:val="id-ID"/>
        </w:rPr>
        <w:t xml:space="preserve"> setting should be directed through a defined referral pathway to the institution legally competent for the relevant need: police for investigation, prosecutors for prosecution, courts for adjudication, the Witness and Victim Protection Agency for statutory protection, UPTD PPA for integrated services, health facilities for clinical care, and legal-aid providers for representation. RBI should facilitate access; it should not create an informal parallel justice system.</w:t>
      </w:r>
    </w:p>
    <w:p w14:paraId="52F08F55"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Nevertheless, such an application raises its own academic challenges. In its official policy framework, Ruang Bersama Indonesia has a strong focus on women and children, whereas this study expands the discussion to women and vulnerable groups more broadly, including persons with disabilities, older persons, and groups experiencing social or economic marginalization. Such an expansion requires a conceptual and normative basis so that it does not remain merely an extension of terminology. This is where social inclusion and intersectionality approaches become relevant for examining the extent to which R</w:t>
      </w:r>
      <w:r>
        <w:rPr>
          <w:rFonts w:cs="Cambria"/>
          <w:szCs w:val="24"/>
          <w:lang w:val="id-ID"/>
        </w:rPr>
        <w:t xml:space="preserve">uang </w:t>
      </w:r>
      <w:r w:rsidRPr="00C12230">
        <w:rPr>
          <w:rFonts w:cs="Cambria"/>
          <w:szCs w:val="24"/>
          <w:lang w:val="id-ID"/>
        </w:rPr>
        <w:t>B</w:t>
      </w:r>
      <w:r>
        <w:rPr>
          <w:rFonts w:cs="Cambria"/>
          <w:szCs w:val="24"/>
          <w:lang w:val="id-ID"/>
        </w:rPr>
        <w:t xml:space="preserve">ersama </w:t>
      </w:r>
      <w:r w:rsidRPr="00C12230">
        <w:rPr>
          <w:rFonts w:cs="Cambria"/>
          <w:szCs w:val="24"/>
          <w:lang w:val="id-ID"/>
        </w:rPr>
        <w:t>I</w:t>
      </w:r>
      <w:r>
        <w:rPr>
          <w:rFonts w:cs="Cambria"/>
          <w:szCs w:val="24"/>
          <w:lang w:val="id-ID"/>
        </w:rPr>
        <w:t>ndonesia</w:t>
      </w:r>
      <w:r w:rsidRPr="00C12230">
        <w:rPr>
          <w:rFonts w:cs="Cambria"/>
          <w:szCs w:val="24"/>
          <w:lang w:val="id-ID"/>
        </w:rPr>
        <w:t xml:space="preserve"> principles can be developed into a framework capable of accommodating more diverse forms of vulnerability.</w:t>
      </w:r>
    </w:p>
    <w:p w14:paraId="71B79D92"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lastRenderedPageBreak/>
        <w:t xml:space="preserve">In addition, the perspective of </w:t>
      </w:r>
      <w:r w:rsidRPr="00C12230">
        <w:rPr>
          <w:rFonts w:cs="Cambria"/>
          <w:i/>
          <w:iCs/>
          <w:szCs w:val="24"/>
          <w:lang w:val="id-ID"/>
        </w:rPr>
        <w:t>Feminist Legal Theory</w:t>
      </w:r>
      <w:r w:rsidRPr="00C12230">
        <w:rPr>
          <w:rFonts w:cs="Cambria"/>
          <w:szCs w:val="24"/>
          <w:lang w:val="id-ID"/>
        </w:rPr>
        <w:t xml:space="preserve"> is required to assess whether the existing criminal law framework is genuinely free from gender-based assumptions and unequal power relations. This perspective allows the study to move beyond the question of whether regulations already exist toward the more substantive question of whether those regulations are capable of providing effective protection to individuals who occupy socially unequal positions. The intersectionality approach is subsequently used to avoid the assumption that all women or all vulnerable groups share identical experiences.</w:t>
      </w:r>
    </w:p>
    <w:p w14:paraId="7F0491CB" w14:textId="77777777" w:rsidR="00C12230" w:rsidRPr="00C12230" w:rsidRDefault="00C12230" w:rsidP="00C12230">
      <w:pPr>
        <w:spacing w:after="0" w:line="240" w:lineRule="auto"/>
        <w:ind w:firstLine="567"/>
        <w:jc w:val="both"/>
        <w:rPr>
          <w:rFonts w:cs="Cambria"/>
          <w:szCs w:val="24"/>
          <w:lang w:val="id-ID"/>
        </w:rPr>
      </w:pPr>
      <w:r w:rsidRPr="00C12230">
        <w:rPr>
          <w:rFonts w:cs="Cambria"/>
          <w:szCs w:val="24"/>
          <w:lang w:val="id-ID"/>
        </w:rPr>
        <w:t>Accordingly, the novelty of this research does not lie merely in discussing the protection of women within criminal law, but in connecting the concept of Ruang Bersama Indonesia, which has developed as a community-based empowerment and protection policy, with the construction of gender-responsive and socially inclusive criminal law policy. Through this construction, Ruang Bersama Indonesia is expected to develop not only as a safe social space, but also as a policy framework that encourages the criminal justice system to become more preventive, accessible, non-discriminatory, responsive to unequal power relations and overlapping vulnerabilities, while continuing to guarantee legal certainty and fair legal proceedings for all parties.</w:t>
      </w:r>
    </w:p>
    <w:p w14:paraId="35A126D5" w14:textId="02773603" w:rsidR="00966057" w:rsidRPr="006E05AF" w:rsidRDefault="00C12230" w:rsidP="006E05AF">
      <w:pPr>
        <w:spacing w:after="0" w:line="240" w:lineRule="auto"/>
        <w:ind w:firstLine="567"/>
        <w:jc w:val="both"/>
        <w:rPr>
          <w:rFonts w:cs="Cambria"/>
          <w:szCs w:val="24"/>
          <w:lang w:val="id-ID"/>
        </w:rPr>
      </w:pPr>
      <w:r w:rsidRPr="00C12230">
        <w:rPr>
          <w:rFonts w:cs="Cambria"/>
          <w:szCs w:val="24"/>
          <w:lang w:val="id-ID"/>
        </w:rPr>
        <w:t>This study focuses on two main issues. First, it examines the normative construction of criminal law policy in providing protection for women and vulnerable groups. The analysis is conducted to determine whether the applicable legal framework has adequately accommodated the principles of gender equality, non-discrimination, accessibility, victim protection, and the specific needs of vulnerable groups. Second, the study is directed toward formulating a model for strengthening gender-responsive and socially inclusive criminal law policy within the framework of Ruang Bersama Indonesia. The proposed model is expected to integrate prevention, protection, recovery, access to justice, and substantive justice so that criminal law policy can become more responsive and inclusive toward diverse forms of vulnerability.</w:t>
      </w:r>
    </w:p>
    <w:p w14:paraId="025B9B77" w14:textId="77777777" w:rsidR="00DC0D24" w:rsidRDefault="00DC0D24" w:rsidP="00310556">
      <w:pPr>
        <w:tabs>
          <w:tab w:val="left" w:pos="567"/>
        </w:tabs>
        <w:spacing w:before="120" w:after="0" w:line="240" w:lineRule="auto"/>
        <w:rPr>
          <w:rFonts w:cs="Cambria"/>
          <w:b/>
          <w:szCs w:val="24"/>
        </w:rPr>
      </w:pPr>
      <w:r>
        <w:rPr>
          <w:rFonts w:cs="Cambria"/>
          <w:b/>
          <w:szCs w:val="24"/>
        </w:rPr>
        <w:t>RESEARCH METHOD</w:t>
      </w:r>
    </w:p>
    <w:p w14:paraId="0F67CECB" w14:textId="6820548F" w:rsidR="00E12946" w:rsidRDefault="00E12946" w:rsidP="003A68C1">
      <w:pPr>
        <w:tabs>
          <w:tab w:val="left" w:pos="0"/>
        </w:tabs>
        <w:spacing w:after="0" w:line="240" w:lineRule="auto"/>
        <w:ind w:firstLine="567"/>
        <w:jc w:val="both"/>
        <w:rPr>
          <w:rFonts w:cs="Cambria"/>
          <w:bCs/>
          <w:szCs w:val="24"/>
          <w:lang w:val="id-ID"/>
        </w:rPr>
      </w:pPr>
      <w:r>
        <w:rPr>
          <w:rFonts w:cs="Cambria"/>
          <w:bCs/>
          <w:szCs w:val="24"/>
          <w:lang w:val="id-ID"/>
        </w:rPr>
        <w:t>This study employs normative legal research, treating law as a system of norms, principles, institutional powers, and remedies contained in legislation, judicial regulations, policy documents, and legal doctrine.</w:t>
      </w:r>
      <w:r>
        <w:rPr>
          <w:rFonts w:cs="Cambria"/>
          <w:bCs/>
          <w:szCs w:val="24"/>
          <w:vertAlign w:val="superscript"/>
          <w:lang w:val="id-ID"/>
        </w:rPr>
        <w:footnoteReference w:id="13"/>
      </w:r>
      <w:r>
        <w:rPr>
          <w:rFonts w:cs="Cambria"/>
          <w:bCs/>
          <w:szCs w:val="24"/>
          <w:lang w:val="id-ID"/>
        </w:rPr>
        <w:t xml:space="preserve"> The research evaluates the protection of women and vulnerable groups and develops a prescriptive policy model; it does not empirically measure institutional performance or </w:t>
      </w:r>
      <w:r w:rsidR="00ED2616">
        <w:rPr>
          <w:rFonts w:cs="Cambria"/>
          <w:szCs w:val="24"/>
          <w:lang w:val="id-ID"/>
        </w:rPr>
        <w:t>Ruang Bersama Indonesia</w:t>
      </w:r>
      <w:r>
        <w:rPr>
          <w:rFonts w:cs="Cambria"/>
          <w:bCs/>
          <w:szCs w:val="24"/>
          <w:lang w:val="id-ID"/>
        </w:rPr>
        <w:t xml:space="preserve"> implementation.</w:t>
      </w:r>
    </w:p>
    <w:p w14:paraId="1C74FBD2" w14:textId="1F1A3262" w:rsidR="003A68C1" w:rsidRPr="00933836" w:rsidRDefault="003A68C1" w:rsidP="003A68C1">
      <w:pPr>
        <w:tabs>
          <w:tab w:val="left" w:pos="0"/>
        </w:tabs>
        <w:spacing w:after="0" w:line="240" w:lineRule="auto"/>
        <w:ind w:firstLine="567"/>
        <w:jc w:val="both"/>
        <w:rPr>
          <w:rFonts w:cs="Cambria"/>
          <w:bCs/>
          <w:szCs w:val="24"/>
          <w:lang w:val="id-ID"/>
        </w:rPr>
      </w:pPr>
      <w:r>
        <w:rPr>
          <w:rFonts w:cs="Cambria"/>
          <w:bCs/>
          <w:szCs w:val="24"/>
          <w:lang w:val="id-ID"/>
        </w:rPr>
        <w:t xml:space="preserve">The study is descriptive-analytical and prescriptive. The descriptive stage inventories the legal standards governing victims, women, children, persons with disabilities, witnesses, procedural rights, accessibility, and recovery. The prescriptive stage develops the </w:t>
      </w:r>
      <w:r w:rsidR="00ED2616">
        <w:rPr>
          <w:rFonts w:cs="Cambria"/>
          <w:szCs w:val="24"/>
          <w:lang w:val="id-ID"/>
        </w:rPr>
        <w:t>Ruang Bersama Indonesia</w:t>
      </w:r>
      <w:r>
        <w:rPr>
          <w:rFonts w:cs="Cambria"/>
          <w:bCs/>
          <w:szCs w:val="24"/>
          <w:lang w:val="id-ID"/>
        </w:rPr>
        <w:t xml:space="preserve"> model only where a proposed element satisfies four criteria: it addresses a fragmentation or access problem identified in the inventory; it is compatible with the legal allocation of authority; it can be connected to an identifiable legal or theoretical basis; and it can be expressed through an observable implementation indicator.</w:t>
      </w:r>
    </w:p>
    <w:p w14:paraId="4EED6900" w14:textId="77777777" w:rsidR="00E12946" w:rsidRPr="00E12946" w:rsidRDefault="003A68C1" w:rsidP="003A68C1">
      <w:pPr>
        <w:tabs>
          <w:tab w:val="left" w:pos="0"/>
        </w:tabs>
        <w:spacing w:after="0" w:line="240" w:lineRule="auto"/>
        <w:ind w:firstLine="567"/>
        <w:jc w:val="both"/>
        <w:rPr>
          <w:rFonts w:cs="Cambria"/>
          <w:bCs/>
          <w:szCs w:val="24"/>
          <w:lang w:val="id-ID"/>
        </w:rPr>
      </w:pPr>
      <w:r w:rsidRPr="00E12946">
        <w:rPr>
          <w:rFonts w:cs="Cambria"/>
          <w:bCs/>
          <w:szCs w:val="24"/>
          <w:lang w:val="id-ID"/>
        </w:rPr>
        <w:lastRenderedPageBreak/>
        <w:t>The approaches employed include the statutory approach and the conceptual approach</w:t>
      </w:r>
      <w:r w:rsidR="00D555EA" w:rsidRPr="00933836">
        <w:rPr>
          <w:rFonts w:cs="Cambria"/>
          <w:bCs/>
          <w:szCs w:val="24"/>
          <w:lang w:val="id-ID"/>
        </w:rPr>
        <w:t>.</w:t>
      </w:r>
      <w:r w:rsidR="00933836">
        <w:rPr>
          <w:rStyle w:val="ReferensiCatatanKaki"/>
          <w:rFonts w:cs="Cambria"/>
          <w:bCs/>
          <w:szCs w:val="24"/>
          <w:lang w:val="id-ID"/>
        </w:rPr>
        <w:footnoteReference w:id="14"/>
      </w:r>
      <w:r w:rsidR="00D555EA" w:rsidRPr="00933836">
        <w:rPr>
          <w:rFonts w:cs="Cambria"/>
          <w:bCs/>
          <w:szCs w:val="24"/>
          <w:lang w:val="id-ID"/>
        </w:rPr>
        <w:t xml:space="preserve"> </w:t>
      </w:r>
      <w:r w:rsidR="00E12946" w:rsidRPr="00E12946">
        <w:rPr>
          <w:rFonts w:cs="Cambria"/>
          <w:bCs/>
          <w:szCs w:val="24"/>
          <w:lang w:val="id-ID"/>
        </w:rPr>
        <w:t xml:space="preserve">The statutory approach is applied by examining various regulations relating to criminal law, the protection of women, victims of violence, children, persons with disabilities, and other vulnerable groups. The conceptual approach is used to examine the concepts of substantive justice, gender equality, non-discrimination, social inclusion, victim protection, intersectionality, and criminal law policy. The analysis also employs the perspective of </w:t>
      </w:r>
      <w:r w:rsidR="00E12946" w:rsidRPr="00E12946">
        <w:rPr>
          <w:rFonts w:cs="Cambria"/>
          <w:bCs/>
          <w:i/>
          <w:iCs/>
          <w:szCs w:val="24"/>
          <w:lang w:val="id-ID"/>
        </w:rPr>
        <w:t>Feminist Legal Theory</w:t>
      </w:r>
      <w:r w:rsidR="00E12946" w:rsidRPr="00E12946">
        <w:rPr>
          <w:rFonts w:cs="Cambria"/>
          <w:bCs/>
          <w:szCs w:val="24"/>
          <w:lang w:val="id-ID"/>
        </w:rPr>
        <w:t xml:space="preserve"> to identify potential gender bias, stereotypes, and unequal power relations in the construction and implementation of legal norms.</w:t>
      </w:r>
    </w:p>
    <w:p w14:paraId="04E20A4F" w14:textId="20DF744D" w:rsidR="00E12946" w:rsidRPr="00E12946" w:rsidRDefault="00E12946" w:rsidP="00E12946">
      <w:pPr>
        <w:tabs>
          <w:tab w:val="left" w:pos="0"/>
        </w:tabs>
        <w:spacing w:after="0" w:line="240" w:lineRule="auto"/>
        <w:ind w:firstLine="567"/>
        <w:jc w:val="both"/>
        <w:rPr>
          <w:rFonts w:cs="Cambria"/>
          <w:bCs/>
          <w:szCs w:val="24"/>
          <w:lang w:val="id-ID"/>
        </w:rPr>
      </w:pPr>
      <w:r>
        <w:rPr>
          <w:rFonts w:cs="Cambria"/>
          <w:bCs/>
          <w:szCs w:val="24"/>
          <w:lang w:val="id-ID"/>
        </w:rPr>
        <w:t xml:space="preserve">Primary materials include legislation in force and relevant implementing regulations, Supreme Court regulations, and official </w:t>
      </w:r>
      <w:r w:rsidR="00ED2616">
        <w:rPr>
          <w:rFonts w:cs="Cambria"/>
          <w:szCs w:val="24"/>
          <w:lang w:val="id-ID"/>
        </w:rPr>
        <w:t>Ruang Bersama Indonesia</w:t>
      </w:r>
      <w:r>
        <w:rPr>
          <w:rFonts w:cs="Cambria"/>
          <w:bCs/>
          <w:szCs w:val="24"/>
          <w:lang w:val="id-ID"/>
        </w:rPr>
        <w:t xml:space="preserve"> policy documents. Secondary materials include peer-reviewed scholarship, doctrinal works, and institutional reports. Materials were selected principally from 2016–2026, with older foundational works retained for Feminist Legal Theory, intersectionality, criminal-law policy, and legal-system theory. Selection criteria were direct relevance to women or vulnerable groups, current legal status, authority of the issuing institution, and traceability of the source.</w:t>
      </w:r>
    </w:p>
    <w:p w14:paraId="6EB21BFD" w14:textId="564827DC" w:rsidR="00E12946" w:rsidRPr="00E12946" w:rsidRDefault="00E12946" w:rsidP="00E12946">
      <w:pPr>
        <w:tabs>
          <w:tab w:val="left" w:pos="0"/>
        </w:tabs>
        <w:spacing w:after="0" w:line="240" w:lineRule="auto"/>
        <w:ind w:firstLine="567"/>
        <w:jc w:val="both"/>
        <w:rPr>
          <w:rFonts w:cs="Cambria"/>
          <w:bCs/>
          <w:szCs w:val="24"/>
          <w:lang w:val="id-ID"/>
        </w:rPr>
      </w:pPr>
      <w:r>
        <w:rPr>
          <w:rFonts w:cs="Cambria"/>
          <w:bCs/>
          <w:szCs w:val="24"/>
          <w:lang w:val="id-ID"/>
        </w:rPr>
        <w:t xml:space="preserve">Materials were collected through official legal databases, institutional websites, and scholarly literature searches using combinations of terms including “women in conflict with the law,” “vulnerable groups,” “sexual violence,” “disability,” “reasonable accommodation,” “victim protection,” “Ruang Bersama Indonesia,” “Feminist Legal Theory,” and “intersectionality.” The official </w:t>
      </w:r>
      <w:r w:rsidR="00ED2616">
        <w:rPr>
          <w:rFonts w:cs="Cambria"/>
          <w:szCs w:val="24"/>
          <w:lang w:val="id-ID"/>
        </w:rPr>
        <w:t>Ruang Bersama Indonesia</w:t>
      </w:r>
      <w:r>
        <w:rPr>
          <w:rFonts w:cs="Cambria"/>
          <w:bCs/>
          <w:szCs w:val="24"/>
          <w:lang w:val="id-ID"/>
        </w:rPr>
        <w:t xml:space="preserve"> materials are used to describe the programme actually adopted by the Ministry; any broader criminal-law-policy function proposed below is expressly identified as the authors’ conceptual extension rather than an existing </w:t>
      </w:r>
      <w:r w:rsidR="00ED2616">
        <w:rPr>
          <w:rFonts w:cs="Cambria"/>
          <w:szCs w:val="24"/>
          <w:lang w:val="id-ID"/>
        </w:rPr>
        <w:t>Ruang Bersama Indonesia</w:t>
      </w:r>
      <w:r>
        <w:rPr>
          <w:rFonts w:cs="Cambria"/>
          <w:bCs/>
          <w:szCs w:val="24"/>
          <w:lang w:val="id-ID"/>
        </w:rPr>
        <w:t xml:space="preserve"> power.</w:t>
      </w:r>
    </w:p>
    <w:p w14:paraId="41E8A7F4" w14:textId="77777777" w:rsidR="00E12946" w:rsidRPr="00E12946" w:rsidRDefault="00E12946" w:rsidP="00E12946">
      <w:pPr>
        <w:tabs>
          <w:tab w:val="left" w:pos="0"/>
        </w:tabs>
        <w:spacing w:after="0" w:line="240" w:lineRule="auto"/>
        <w:ind w:firstLine="567"/>
        <w:jc w:val="both"/>
        <w:rPr>
          <w:rFonts w:cs="Cambria"/>
          <w:bCs/>
          <w:szCs w:val="24"/>
          <w:lang w:val="id-ID"/>
        </w:rPr>
      </w:pPr>
      <w:r>
        <w:rPr>
          <w:rFonts w:cs="Cambria"/>
          <w:bCs/>
          <w:szCs w:val="24"/>
          <w:lang w:val="id-ID"/>
        </w:rPr>
        <w:t>The analysis proceeded through systematization and legal interpretation. Grammatical interpretation was used to identify the textual subject and scope of each protection; systematic interpretation examined how different statutes and procedural rules interact; and teleological interpretation assessed the protective purpose of each instrument. One recurring example is disability accommodation: disability legislation and implementing rules make reasonable accommodation a legal right of persons with disabilities in judicial proceedings, while other vulnerable groups may need support for different reasons. Feminist Legal Theory and intersectionality are then used to test whether apparently neutral procedural arrangements overlook power relations or overlapping barriers. The result is not an extension of “reasonable accommodation” to every group, but a differentiation between legally mandated disability accommodation and other proposed support measures that require their own legal basis.</w:t>
      </w:r>
    </w:p>
    <w:p w14:paraId="4C3E5098" w14:textId="77777777" w:rsidR="008B49A6" w:rsidRPr="006E05AF" w:rsidRDefault="008B49A6" w:rsidP="006E05AF">
      <w:pPr>
        <w:tabs>
          <w:tab w:val="left" w:pos="0"/>
        </w:tabs>
        <w:spacing w:after="0" w:line="240" w:lineRule="auto"/>
        <w:ind w:firstLine="567"/>
        <w:jc w:val="both"/>
        <w:rPr>
          <w:rFonts w:cs="Cambria"/>
          <w:bCs/>
          <w:szCs w:val="24"/>
          <w:lang w:val="id-ID"/>
        </w:rPr>
      </w:pPr>
    </w:p>
    <w:p w14:paraId="48879684" w14:textId="77777777" w:rsidR="00DC0D24" w:rsidRDefault="00DC0D24" w:rsidP="00310556">
      <w:pPr>
        <w:tabs>
          <w:tab w:val="left" w:pos="567"/>
        </w:tabs>
        <w:spacing w:before="120" w:after="0" w:line="240" w:lineRule="auto"/>
        <w:rPr>
          <w:rFonts w:cs="Cambria"/>
          <w:b/>
          <w:szCs w:val="24"/>
        </w:rPr>
      </w:pPr>
      <w:r>
        <w:rPr>
          <w:rFonts w:cs="Cambria"/>
          <w:b/>
          <w:szCs w:val="24"/>
        </w:rPr>
        <w:t>RESULTS AND DISCUSSION</w:t>
      </w:r>
    </w:p>
    <w:p w14:paraId="33B25312" w14:textId="2120BC7E" w:rsidR="00B135FE" w:rsidRPr="00CF787A" w:rsidRDefault="00B135FE" w:rsidP="00CF787A">
      <w:pPr>
        <w:tabs>
          <w:tab w:val="left" w:pos="567"/>
        </w:tabs>
        <w:spacing w:after="0" w:line="240" w:lineRule="auto"/>
        <w:jc w:val="both"/>
        <w:rPr>
          <w:rFonts w:cs="Cambria"/>
          <w:b/>
          <w:bCs/>
          <w:szCs w:val="24"/>
          <w:lang w:val="id-ID"/>
        </w:rPr>
      </w:pPr>
      <w:r w:rsidRPr="00B135FE">
        <w:rPr>
          <w:rFonts w:cs="Cambria"/>
          <w:b/>
          <w:bCs/>
          <w:szCs w:val="24"/>
        </w:rPr>
        <w:t>The Normative Construction of Legal Protection for Women and Vulnerable Groups in Indonesian Criminal Law Policy</w:t>
      </w:r>
    </w:p>
    <w:p w14:paraId="5A1DF714" w14:textId="16C9A2C9" w:rsidR="00EB5A08" w:rsidRPr="00EB5A08" w:rsidRDefault="00EB5A08" w:rsidP="00EB5A08">
      <w:pPr>
        <w:tabs>
          <w:tab w:val="left" w:pos="567"/>
        </w:tabs>
        <w:spacing w:after="0" w:line="240" w:lineRule="auto"/>
        <w:ind w:firstLine="567"/>
        <w:jc w:val="both"/>
        <w:rPr>
          <w:rFonts w:cs="Cambria"/>
          <w:bCs/>
          <w:szCs w:val="24"/>
          <w:lang w:val="id-ID"/>
        </w:rPr>
      </w:pPr>
      <w:r w:rsidRPr="00EB5A08">
        <w:rPr>
          <w:rFonts w:cs="Cambria"/>
          <w:bCs/>
          <w:szCs w:val="24"/>
          <w:lang w:val="id-ID"/>
        </w:rPr>
        <w:t xml:space="preserve">The findings demonstrate that the normative construction of protection for women and vulnerable groups within Indonesian criminal law has undergone </w:t>
      </w:r>
      <w:r w:rsidRPr="00EB5A08">
        <w:rPr>
          <w:rFonts w:cs="Cambria"/>
          <w:bCs/>
          <w:szCs w:val="24"/>
          <w:lang w:val="id-ID"/>
        </w:rPr>
        <w:lastRenderedPageBreak/>
        <w:t>significant transformation. The orientation of criminal law policy is no longer directed solely toward defining criminal offenses and punishing offenders, but has gradually incorporated aspects of victim protection, recovery, restitution, compensation, accessibility, reasonable accommodation, and recognition of conditions of vulnerability.</w:t>
      </w:r>
    </w:p>
    <w:p w14:paraId="4A9C9B73" w14:textId="77777777" w:rsidR="00D555EA" w:rsidRPr="00EB5A08" w:rsidRDefault="00EB5A08" w:rsidP="00EB5A08">
      <w:pPr>
        <w:tabs>
          <w:tab w:val="left" w:pos="567"/>
        </w:tabs>
        <w:spacing w:after="0" w:line="240" w:lineRule="auto"/>
        <w:ind w:firstLine="567"/>
        <w:jc w:val="both"/>
        <w:rPr>
          <w:rFonts w:cs="Cambria"/>
          <w:bCs/>
          <w:szCs w:val="24"/>
          <w:lang w:val="id-ID"/>
        </w:rPr>
      </w:pPr>
      <w:r w:rsidRPr="00EB5A08">
        <w:rPr>
          <w:rFonts w:cs="Cambria"/>
          <w:bCs/>
          <w:szCs w:val="24"/>
          <w:lang w:val="id-ID"/>
        </w:rPr>
        <w:t xml:space="preserve">Constitutionally, such protection is grounded in the principles of equality before the law, legal protection, and fair legal certainty as stipulated in Article 27 paragraph (1) and Article 28D paragraph (1) of the 1945 Constitution of the Republic of Indonesia. Furthermore, Article 28H paragraph (2) provides a constitutional basis for special treatment or facilities aimed at ensuring equal opportunities and benefits in order to achieve equality and justice. These provisions are important because they demonstrate that the principle of </w:t>
      </w:r>
      <w:r w:rsidRPr="00EB5A08">
        <w:rPr>
          <w:rFonts w:cs="Cambria"/>
          <w:bCs/>
          <w:i/>
          <w:iCs/>
          <w:szCs w:val="24"/>
          <w:lang w:val="id-ID"/>
        </w:rPr>
        <w:t>equality before the law</w:t>
      </w:r>
      <w:r w:rsidRPr="00EB5A08">
        <w:rPr>
          <w:rFonts w:cs="Cambria"/>
          <w:bCs/>
          <w:szCs w:val="24"/>
          <w:lang w:val="id-ID"/>
        </w:rPr>
        <w:t xml:space="preserve"> should not always be interpreted as requiring identical treatment for every individual</w:t>
      </w:r>
      <w:r w:rsidR="00D555EA" w:rsidRPr="00EB5A08">
        <w:rPr>
          <w:rFonts w:cs="Cambria"/>
          <w:bCs/>
          <w:szCs w:val="24"/>
          <w:lang w:val="id-ID"/>
        </w:rPr>
        <w:t>.</w:t>
      </w:r>
      <w:r w:rsidR="00D03B9D" w:rsidRPr="00EB5A08">
        <w:rPr>
          <w:rStyle w:val="ReferensiCatatanKaki"/>
          <w:rFonts w:cs="Cambria"/>
          <w:bCs/>
          <w:szCs w:val="24"/>
          <w:lang w:val="id-ID"/>
        </w:rPr>
        <w:footnoteReference w:id="15"/>
      </w:r>
      <w:r w:rsidR="00D555EA" w:rsidRPr="00EB5A08">
        <w:rPr>
          <w:rFonts w:cs="Cambria"/>
          <w:bCs/>
          <w:szCs w:val="24"/>
          <w:lang w:val="id-ID"/>
        </w:rPr>
        <w:t xml:space="preserve"> </w:t>
      </w:r>
      <w:r w:rsidRPr="00EB5A08">
        <w:rPr>
          <w:rFonts w:cs="Cambria"/>
          <w:bCs/>
          <w:szCs w:val="24"/>
          <w:lang w:val="id-ID"/>
        </w:rPr>
        <w:t xml:space="preserve"> Where differences in needs or barriers exist, differentiated treatment may instead be necessary to achieve genuine equality.</w:t>
      </w:r>
    </w:p>
    <w:p w14:paraId="750454CE" w14:textId="77777777" w:rsidR="00D555EA" w:rsidRPr="00EB5A08" w:rsidRDefault="00EB5A08" w:rsidP="00EB5A08">
      <w:pPr>
        <w:tabs>
          <w:tab w:val="left" w:pos="567"/>
        </w:tabs>
        <w:spacing w:after="0" w:line="240" w:lineRule="auto"/>
        <w:ind w:firstLine="567"/>
        <w:jc w:val="both"/>
        <w:rPr>
          <w:rFonts w:cs="Cambria"/>
          <w:bCs/>
          <w:szCs w:val="24"/>
          <w:lang w:val="id-ID"/>
        </w:rPr>
      </w:pPr>
      <w:r w:rsidRPr="00EB5A08">
        <w:rPr>
          <w:rFonts w:cs="Cambria"/>
          <w:bCs/>
          <w:szCs w:val="24"/>
          <w:lang w:val="id-ID"/>
        </w:rPr>
        <w:t>This understanding is consistent with the concept of substantive justice</w:t>
      </w:r>
      <w:r w:rsidR="00D555EA" w:rsidRPr="00EB5A08">
        <w:rPr>
          <w:rFonts w:cs="Cambria"/>
          <w:bCs/>
          <w:szCs w:val="24"/>
          <w:lang w:val="id-ID"/>
        </w:rPr>
        <w:t>.</w:t>
      </w:r>
      <w:r w:rsidR="00D03B9D" w:rsidRPr="00EB5A08">
        <w:rPr>
          <w:rStyle w:val="ReferensiCatatanKaki"/>
          <w:rFonts w:cs="Cambria"/>
          <w:bCs/>
          <w:szCs w:val="24"/>
          <w:lang w:val="id-ID"/>
        </w:rPr>
        <w:footnoteReference w:id="16"/>
      </w:r>
      <w:r w:rsidRPr="00EB5A08">
        <w:rPr>
          <w:rFonts w:cs="Cambria"/>
          <w:bCs/>
          <w:szCs w:val="24"/>
          <w:lang w:val="id-ID"/>
        </w:rPr>
        <w:t xml:space="preserve"> CEDAW General Recommendation No. 25 emphasizes that a legal approach based solely on identical treatment does not necessarily produce genuine equality. Biological, social, and cultural differences, as well as structural inequalities, must be taken into account in order to achieve equality of outcomes</w:t>
      </w:r>
      <w:r w:rsidR="00D555EA" w:rsidRPr="00EB5A08">
        <w:rPr>
          <w:rFonts w:cs="Cambria"/>
          <w:bCs/>
          <w:szCs w:val="24"/>
          <w:lang w:val="id-ID"/>
        </w:rPr>
        <w:t>.</w:t>
      </w:r>
      <w:r w:rsidR="005058F1" w:rsidRPr="00EB5A08">
        <w:rPr>
          <w:rStyle w:val="ReferensiCatatanKaki"/>
          <w:rFonts w:cs="Cambria"/>
          <w:bCs/>
          <w:szCs w:val="24"/>
          <w:lang w:val="id-ID"/>
        </w:rPr>
        <w:footnoteReference w:id="17"/>
      </w:r>
      <w:r w:rsidR="00D555EA" w:rsidRPr="00EB5A08">
        <w:rPr>
          <w:rFonts w:cs="Cambria"/>
          <w:bCs/>
          <w:szCs w:val="24"/>
          <w:lang w:val="id-ID"/>
        </w:rPr>
        <w:t xml:space="preserve"> </w:t>
      </w:r>
      <w:r w:rsidRPr="00EB5A08">
        <w:rPr>
          <w:rFonts w:cs="Cambria"/>
          <w:bCs/>
          <w:szCs w:val="24"/>
          <w:lang w:val="id-ID"/>
        </w:rPr>
        <w:t>Accordingly, the provision of assistants, interpreters, reasonable accommodation, special protection, or specific examination procedures for vulnerable groups should not be regarded as a departure from the principle of equality, but rather as an instrument for achieving substantive equality.</w:t>
      </w:r>
    </w:p>
    <w:p w14:paraId="3868EC13" w14:textId="149A68E6" w:rsidR="00EB5A08" w:rsidRPr="00EB5A08" w:rsidRDefault="00EB5A08" w:rsidP="006E05AF">
      <w:pPr>
        <w:tabs>
          <w:tab w:val="left" w:pos="567"/>
        </w:tabs>
        <w:spacing w:after="0" w:line="240" w:lineRule="auto"/>
        <w:ind w:firstLine="567"/>
        <w:jc w:val="both"/>
        <w:rPr>
          <w:rFonts w:cs="Cambria"/>
          <w:bCs/>
          <w:szCs w:val="24"/>
          <w:lang w:val="id-ID"/>
        </w:rPr>
      </w:pPr>
      <w:r w:rsidRPr="00EB5A08">
        <w:rPr>
          <w:rFonts w:cs="Cambria"/>
          <w:bCs/>
          <w:szCs w:val="24"/>
          <w:lang w:val="id-ID"/>
        </w:rPr>
        <w:t xml:space="preserve">Within Indonesia’s national criminal law framework, one significant development can be seen in Law Number 12 of 2022 on Sexual Violence Crimes. This law establishes a protection paradigm that is not solely oriented toward punishment. Prevention, handling, victim protection and recovery, law enforcement, offender rehabilitation, the creation of environments free from sexual violence, and guarantees of non-recurrence are placed within a single policy framework. Normatively, this construction reflects a shift from an </w:t>
      </w:r>
      <w:r w:rsidRPr="00EB5A08">
        <w:rPr>
          <w:rFonts w:cs="Cambria"/>
          <w:bCs/>
          <w:i/>
          <w:iCs/>
          <w:szCs w:val="24"/>
          <w:lang w:val="id-ID"/>
        </w:rPr>
        <w:t>offender-oriented</w:t>
      </w:r>
      <w:r w:rsidRPr="00EB5A08">
        <w:rPr>
          <w:rFonts w:cs="Cambria"/>
          <w:bCs/>
          <w:szCs w:val="24"/>
          <w:lang w:val="id-ID"/>
        </w:rPr>
        <w:t xml:space="preserve"> approach toward a more balanced framework between offender accountability and the fulfillment of victims’ rights.</w:t>
      </w:r>
    </w:p>
    <w:p w14:paraId="2C3567C6" w14:textId="77777777" w:rsidR="00D555EA" w:rsidRPr="00EB5A08" w:rsidRDefault="00EB5A08" w:rsidP="00EB5A08">
      <w:pPr>
        <w:tabs>
          <w:tab w:val="left" w:pos="567"/>
        </w:tabs>
        <w:spacing w:after="0" w:line="240" w:lineRule="auto"/>
        <w:ind w:firstLine="567"/>
        <w:jc w:val="both"/>
        <w:rPr>
          <w:rFonts w:cs="Cambria"/>
          <w:bCs/>
          <w:szCs w:val="24"/>
          <w:lang w:val="id-ID"/>
        </w:rPr>
      </w:pPr>
      <w:r w:rsidRPr="00EB5A08">
        <w:rPr>
          <w:rFonts w:cs="Cambria"/>
          <w:bCs/>
          <w:szCs w:val="24"/>
          <w:lang w:val="id-ID"/>
        </w:rPr>
        <w:t>This strengthening was further continued through Government Regulation Number 29 of 2025 on the Victim Assistance Fund for Sexual Violence Crimes and Government Regulation Number 30 of 2025 on the Prevention of Sexual Violence Crimes as well as the Handling, Protection, and Recovery of Victims of Sexual Violence Crimes</w:t>
      </w:r>
      <w:r w:rsidR="00D555EA" w:rsidRPr="00EB5A08">
        <w:rPr>
          <w:rFonts w:cs="Cambria"/>
          <w:bCs/>
          <w:szCs w:val="24"/>
          <w:lang w:val="id-ID"/>
        </w:rPr>
        <w:t>.</w:t>
      </w:r>
      <w:r w:rsidR="000D5CBA" w:rsidRPr="00EB5A08">
        <w:rPr>
          <w:rStyle w:val="ReferensiCatatanKaki"/>
          <w:rFonts w:cs="Cambria"/>
          <w:bCs/>
          <w:szCs w:val="24"/>
          <w:lang w:val="id-ID"/>
        </w:rPr>
        <w:footnoteReference w:id="18"/>
      </w:r>
      <w:r w:rsidR="00D555EA" w:rsidRPr="00EB5A08">
        <w:rPr>
          <w:rFonts w:cs="Cambria"/>
          <w:bCs/>
          <w:szCs w:val="24"/>
          <w:lang w:val="id-ID"/>
        </w:rPr>
        <w:t xml:space="preserve"> </w:t>
      </w:r>
      <w:r w:rsidRPr="00EB5A08">
        <w:rPr>
          <w:rFonts w:cs="Cambria"/>
          <w:bCs/>
          <w:szCs w:val="24"/>
          <w:lang w:val="id-ID"/>
        </w:rPr>
        <w:t xml:space="preserve">Moreover, the latter regulation stipulates that prevention measures must incorporate accessibility for children, persons with disabilities, and </w:t>
      </w:r>
      <w:r w:rsidRPr="00EB5A08">
        <w:rPr>
          <w:rFonts w:cs="Cambria"/>
          <w:bCs/>
          <w:szCs w:val="24"/>
          <w:lang w:val="id-ID"/>
        </w:rPr>
        <w:lastRenderedPageBreak/>
        <w:t>older persons. These provisions indicate the increasing incorporation of an intersectional perspective into protection policies, even though the term intersectionality is not always explicitly used.</w:t>
      </w:r>
    </w:p>
    <w:p w14:paraId="17DAECBA" w14:textId="77777777" w:rsidR="00D555EA" w:rsidRPr="00EB5A08" w:rsidRDefault="00EB5A08" w:rsidP="00EB5A08">
      <w:pPr>
        <w:tabs>
          <w:tab w:val="left" w:pos="567"/>
        </w:tabs>
        <w:spacing w:after="0" w:line="240" w:lineRule="auto"/>
        <w:ind w:firstLine="567"/>
        <w:jc w:val="both"/>
        <w:rPr>
          <w:rFonts w:cs="Cambria"/>
          <w:bCs/>
          <w:szCs w:val="24"/>
          <w:lang w:val="id-ID"/>
        </w:rPr>
      </w:pPr>
      <w:r w:rsidRPr="00EB5A08">
        <w:rPr>
          <w:rFonts w:cs="Cambria"/>
          <w:bCs/>
          <w:szCs w:val="24"/>
          <w:lang w:val="id-ID"/>
        </w:rPr>
        <w:t xml:space="preserve">A similar development can be observed in the protection of persons with disabilities. Law Number 8 of 2016 marked a shift from a </w:t>
      </w:r>
      <w:r w:rsidRPr="00EB5A08">
        <w:rPr>
          <w:rFonts w:cs="Cambria"/>
          <w:bCs/>
          <w:i/>
          <w:iCs/>
          <w:szCs w:val="24"/>
          <w:lang w:val="id-ID"/>
        </w:rPr>
        <w:t>charity-based approach</w:t>
      </w:r>
      <w:r w:rsidRPr="00EB5A08">
        <w:rPr>
          <w:rFonts w:cs="Cambria"/>
          <w:bCs/>
          <w:szCs w:val="24"/>
          <w:lang w:val="id-ID"/>
        </w:rPr>
        <w:t xml:space="preserve"> toward a </w:t>
      </w:r>
      <w:r w:rsidRPr="00EB5A08">
        <w:rPr>
          <w:rFonts w:cs="Cambria"/>
          <w:bCs/>
          <w:i/>
          <w:iCs/>
          <w:szCs w:val="24"/>
          <w:lang w:val="id-ID"/>
        </w:rPr>
        <w:t>rights-based approach</w:t>
      </w:r>
      <w:r w:rsidRPr="00EB5A08">
        <w:rPr>
          <w:rFonts w:cs="Cambria"/>
          <w:bCs/>
          <w:szCs w:val="24"/>
          <w:lang w:val="id-ID"/>
        </w:rPr>
        <w:t>. The state is required to guarantee equal opportunities, accessibility, respect, protection, and the fulfillment of the rights of persons with disabilities</w:t>
      </w:r>
      <w:r w:rsidR="00D555EA" w:rsidRPr="00EB5A08">
        <w:rPr>
          <w:rFonts w:cs="Cambria"/>
          <w:bCs/>
          <w:szCs w:val="24"/>
          <w:lang w:val="id-ID"/>
        </w:rPr>
        <w:t>.</w:t>
      </w:r>
      <w:r w:rsidR="000D5CBA" w:rsidRPr="00EB5A08">
        <w:rPr>
          <w:rStyle w:val="ReferensiCatatanKaki"/>
          <w:rFonts w:cs="Cambria"/>
          <w:bCs/>
          <w:szCs w:val="24"/>
          <w:lang w:val="id-ID"/>
        </w:rPr>
        <w:footnoteReference w:id="19"/>
      </w:r>
      <w:r w:rsidR="00D555EA" w:rsidRPr="00EB5A08">
        <w:rPr>
          <w:rFonts w:cs="Cambria"/>
          <w:bCs/>
          <w:szCs w:val="24"/>
          <w:lang w:val="id-ID"/>
        </w:rPr>
        <w:t xml:space="preserve"> </w:t>
      </w:r>
      <w:r w:rsidRPr="00EB5A08">
        <w:rPr>
          <w:rFonts w:cs="Cambria"/>
          <w:bCs/>
          <w:szCs w:val="24"/>
          <w:lang w:val="id-ID"/>
        </w:rPr>
        <w:t>These provisions are further reinforced by Government Regulation Number 39 of 2020 on Reasonable Accommodation for Persons with Disabilities in Judicial Proceedings, which regulates personal assessments, disability assistants, interpreters, services, and accessible facilities and infrastructure</w:t>
      </w:r>
      <w:r w:rsidR="00D555EA" w:rsidRPr="00EB5A08">
        <w:rPr>
          <w:rFonts w:cs="Cambria"/>
          <w:bCs/>
          <w:szCs w:val="24"/>
          <w:lang w:val="id-ID"/>
        </w:rPr>
        <w:t>.</w:t>
      </w:r>
      <w:r w:rsidR="00465F0A" w:rsidRPr="00EB5A08">
        <w:rPr>
          <w:rStyle w:val="ReferensiCatatanKaki"/>
          <w:rFonts w:cs="Cambria"/>
          <w:bCs/>
          <w:szCs w:val="24"/>
          <w:lang w:val="id-ID"/>
        </w:rPr>
        <w:footnoteReference w:id="20"/>
      </w:r>
    </w:p>
    <w:p w14:paraId="44B84E39" w14:textId="77777777" w:rsidR="00BA608F" w:rsidRPr="00BA608F" w:rsidRDefault="00BA608F" w:rsidP="00BA608F">
      <w:pPr>
        <w:tabs>
          <w:tab w:val="left" w:pos="567"/>
        </w:tabs>
        <w:spacing w:after="0" w:line="240" w:lineRule="auto"/>
        <w:ind w:firstLine="567"/>
        <w:jc w:val="both"/>
        <w:rPr>
          <w:rFonts w:cs="Cambria"/>
          <w:bCs/>
          <w:szCs w:val="24"/>
          <w:lang w:val="id-ID"/>
        </w:rPr>
      </w:pPr>
      <w:r w:rsidRPr="00BA608F">
        <w:rPr>
          <w:rFonts w:cs="Cambria"/>
          <w:bCs/>
          <w:szCs w:val="24"/>
          <w:lang w:val="id-ID"/>
        </w:rPr>
        <w:t xml:space="preserve">At the judicial level, Supreme Court Regulation Number 2 of 2025 on Guidelines for Adjudicating Cases Involving Persons with Disabilities in Conflict with the Law further reinforces these principles. This Supreme Court Regulation responds to the need to ensure that judicial proceedings are fair, accessible, and accommodating for persons with disabilities. In this context, </w:t>
      </w:r>
      <w:r w:rsidRPr="00BA608F">
        <w:rPr>
          <w:rFonts w:cs="Cambria"/>
          <w:bCs/>
          <w:i/>
          <w:iCs/>
          <w:szCs w:val="24"/>
          <w:lang w:val="id-ID"/>
        </w:rPr>
        <w:t>reasonable accommodation</w:t>
      </w:r>
      <w:r w:rsidRPr="00BA608F">
        <w:rPr>
          <w:rFonts w:cs="Cambria"/>
          <w:bCs/>
          <w:szCs w:val="24"/>
          <w:lang w:val="id-ID"/>
        </w:rPr>
        <w:t xml:space="preserve"> is constructed as an integral component of equality before the law, rather than as an additional facility that may or may not be provided at the discretion of law enforcement officials.</w:t>
      </w:r>
    </w:p>
    <w:p w14:paraId="6D9DB274" w14:textId="77777777" w:rsidR="00BA608F" w:rsidRPr="00BA608F" w:rsidRDefault="00BA608F" w:rsidP="00BA608F">
      <w:pPr>
        <w:tabs>
          <w:tab w:val="left" w:pos="567"/>
        </w:tabs>
        <w:spacing w:after="0" w:line="240" w:lineRule="auto"/>
        <w:ind w:firstLine="567"/>
        <w:jc w:val="both"/>
        <w:rPr>
          <w:rFonts w:cs="Cambria"/>
          <w:bCs/>
          <w:szCs w:val="24"/>
          <w:lang w:val="id-ID"/>
        </w:rPr>
      </w:pPr>
      <w:r w:rsidRPr="00BA608F">
        <w:rPr>
          <w:rFonts w:cs="Cambria"/>
          <w:bCs/>
          <w:szCs w:val="24"/>
          <w:lang w:val="id-ID"/>
        </w:rPr>
        <w:t>Women in conflict with the law are also afforded specific guarantees through Supreme Court Regulation Number 3 of 2017. The Regulation incorporates gender equality, discrimination, gender stereotypes, and power relations as relevant considerations in the examination of cases. The existence of these provisions reflects recognition that judicial proceedings do not take place within a socially neutral environment. The relational background of the parties and prevailing social constructions may influence women’s experiences when engaging with the legal system.</w:t>
      </w:r>
    </w:p>
    <w:p w14:paraId="55D3EC7F" w14:textId="77777777" w:rsidR="00337F40" w:rsidRPr="00337F40" w:rsidRDefault="00337F40" w:rsidP="00337F40">
      <w:pPr>
        <w:tabs>
          <w:tab w:val="left" w:pos="567"/>
        </w:tabs>
        <w:spacing w:after="0" w:line="240" w:lineRule="auto"/>
        <w:ind w:firstLine="567"/>
        <w:jc w:val="both"/>
        <w:rPr>
          <w:rFonts w:cs="Cambria"/>
          <w:bCs/>
          <w:szCs w:val="24"/>
          <w:lang w:val="id-ID"/>
        </w:rPr>
      </w:pPr>
      <w:r w:rsidRPr="00337F40">
        <w:rPr>
          <w:rFonts w:cs="Cambria"/>
          <w:bCs/>
          <w:szCs w:val="24"/>
          <w:lang w:val="id-ID"/>
        </w:rPr>
        <w:t>The most recent development is reflected in Law Number 3 of 2026 on Witness and Victim Protection, which came into force on May 20, 2026, and repealed Law Number 13 of 2006 as amended by Law Number 31 of 2014. The new law regulates the protection and rights of witnesses, victims, cooperating witnesses, whistleblowers, informants, and experts; the Victim Endowment Fund; restitution; compensation; the strengthening of the Witness and Victim Protection Agency; the roles of central and regional governments; and public participation. This policy further strengthens the victim-oriented direction of the criminal justice system and demonstrates that recovery is increasingly being positioned as an integral component of criminal law policy.</w:t>
      </w:r>
    </w:p>
    <w:p w14:paraId="3E24B4C1" w14:textId="77777777" w:rsidR="00D555EA" w:rsidRPr="00337F40" w:rsidRDefault="00337F40" w:rsidP="00337F40">
      <w:pPr>
        <w:tabs>
          <w:tab w:val="left" w:pos="567"/>
        </w:tabs>
        <w:spacing w:after="0" w:line="240" w:lineRule="auto"/>
        <w:ind w:firstLine="567"/>
        <w:jc w:val="both"/>
        <w:rPr>
          <w:rFonts w:cs="Cambria"/>
          <w:bCs/>
          <w:szCs w:val="24"/>
          <w:lang w:val="id-ID"/>
        </w:rPr>
      </w:pPr>
      <w:r w:rsidRPr="00337F40">
        <w:rPr>
          <w:rFonts w:cs="Cambria"/>
          <w:bCs/>
          <w:szCs w:val="24"/>
          <w:lang w:val="id-ID"/>
        </w:rPr>
        <w:t xml:space="preserve">Despite these significant regulatory developments, this study finds that the existence of legal norms alone cannot serve as the sole measure of whether adequate protection for women has been achieved. </w:t>
      </w:r>
      <w:r w:rsidRPr="00337F40">
        <w:rPr>
          <w:rFonts w:cs="Cambria"/>
          <w:bCs/>
          <w:i/>
          <w:iCs/>
          <w:szCs w:val="24"/>
          <w:lang w:val="id-ID"/>
        </w:rPr>
        <w:t>Feminist Legal Theory</w:t>
      </w:r>
      <w:r w:rsidRPr="00337F40">
        <w:rPr>
          <w:rFonts w:cs="Cambria"/>
          <w:bCs/>
          <w:szCs w:val="24"/>
          <w:lang w:val="id-ID"/>
        </w:rPr>
        <w:t xml:space="preserve"> criticizes the assumption that law is always neutral. MacKinnon argues that legal structures may reproduce unequal social relations when the experiences of groups that occupy </w:t>
      </w:r>
      <w:r w:rsidRPr="00337F40">
        <w:rPr>
          <w:rFonts w:cs="Cambria"/>
          <w:bCs/>
          <w:szCs w:val="24"/>
          <w:lang w:val="id-ID"/>
        </w:rPr>
        <w:lastRenderedPageBreak/>
        <w:t>structurally subordinate positions are excluded from the processes of legal formation and implementation</w:t>
      </w:r>
      <w:r w:rsidR="00D555EA" w:rsidRPr="00337F40">
        <w:rPr>
          <w:rFonts w:cs="Cambria"/>
          <w:szCs w:val="24"/>
          <w:lang w:val="id-ID"/>
        </w:rPr>
        <w:t>.</w:t>
      </w:r>
      <w:r w:rsidR="006D671C" w:rsidRPr="00337F40">
        <w:rPr>
          <w:rStyle w:val="ReferensiCatatanKaki"/>
          <w:rFonts w:cs="Cambria"/>
          <w:szCs w:val="24"/>
          <w:lang w:val="id-ID"/>
        </w:rPr>
        <w:footnoteReference w:id="21"/>
      </w:r>
    </w:p>
    <w:p w14:paraId="21372A2E" w14:textId="77777777" w:rsidR="00337F40" w:rsidRPr="00337F40" w:rsidRDefault="00337F40" w:rsidP="00337F40">
      <w:pPr>
        <w:tabs>
          <w:tab w:val="left" w:pos="567"/>
        </w:tabs>
        <w:spacing w:after="0" w:line="240" w:lineRule="auto"/>
        <w:ind w:firstLine="567"/>
        <w:jc w:val="both"/>
        <w:rPr>
          <w:rFonts w:cs="Cambria"/>
          <w:bCs/>
          <w:szCs w:val="24"/>
          <w:lang w:val="id-ID"/>
        </w:rPr>
      </w:pPr>
      <w:r w:rsidRPr="00337F40">
        <w:rPr>
          <w:rFonts w:cs="Cambria"/>
          <w:bCs/>
          <w:szCs w:val="24"/>
          <w:lang w:val="id-ID"/>
        </w:rPr>
        <w:t>In the context of Indonesian criminal law, this critique becomes relevant when legal norms that formally apply to “everyone” are implemented without considering economic dependency, unequal power relations, repeated violence, stigma, or the victim’s position in relation to the offender. Equal treatment of two individuals who possess different capacities and social positions may ultimately produce substantive injustice.</w:t>
      </w:r>
    </w:p>
    <w:p w14:paraId="5C59E6EC" w14:textId="77777777" w:rsidR="00337F40" w:rsidRPr="00337F40" w:rsidRDefault="00337F40" w:rsidP="00337F40">
      <w:pPr>
        <w:tabs>
          <w:tab w:val="left" w:pos="567"/>
        </w:tabs>
        <w:spacing w:after="0" w:line="240" w:lineRule="auto"/>
        <w:ind w:firstLine="567"/>
        <w:jc w:val="both"/>
        <w:rPr>
          <w:rFonts w:cs="Cambria"/>
          <w:bCs/>
          <w:szCs w:val="24"/>
          <w:lang w:val="id-ID"/>
        </w:rPr>
      </w:pPr>
      <w:r w:rsidRPr="00337F40">
        <w:rPr>
          <w:rFonts w:cs="Cambria"/>
          <w:bCs/>
          <w:szCs w:val="24"/>
          <w:lang w:val="id-ID"/>
        </w:rPr>
        <w:t>Social findings further reinforce this issue. The 2025 Annual Report of Komnas Perempuan recorded 376,529 cases of gender-based violence against women throughout 2025, representing an increase of 14.07 percent compared with the previous year. Of these cases, 337,961, or 89.76 percent, occurred within the personal sphere</w:t>
      </w:r>
      <w:r w:rsidR="00D555EA" w:rsidRPr="00337F40">
        <w:rPr>
          <w:rFonts w:cs="Cambria"/>
          <w:szCs w:val="24"/>
          <w:lang w:val="id-ID"/>
        </w:rPr>
        <w:t>.</w:t>
      </w:r>
      <w:r w:rsidR="001072E2" w:rsidRPr="00337F40">
        <w:rPr>
          <w:rStyle w:val="ReferensiCatatanKaki"/>
          <w:rFonts w:cs="Cambria"/>
          <w:szCs w:val="24"/>
          <w:lang w:val="id-ID"/>
        </w:rPr>
        <w:footnoteReference w:id="22"/>
      </w:r>
      <w:r w:rsidR="00D555EA" w:rsidRPr="00337F40">
        <w:rPr>
          <w:rFonts w:cs="Cambria"/>
          <w:szCs w:val="24"/>
          <w:lang w:val="id-ID"/>
        </w:rPr>
        <w:t xml:space="preserve"> </w:t>
      </w:r>
      <w:r w:rsidRPr="00337F40">
        <w:rPr>
          <w:rFonts w:cs="Cambria"/>
          <w:bCs/>
          <w:szCs w:val="24"/>
          <w:lang w:val="id-ID"/>
        </w:rPr>
        <w:t xml:space="preserve">These realities demonstrate that the law cannot be limited merely to prohibiting violence. The legal system must also be capable of understanding how violence may occur within relationships characterized by economic or psychological dependency, family ties, or particular structures of power. From the perspective of </w:t>
      </w:r>
      <w:r w:rsidRPr="00337F40">
        <w:rPr>
          <w:rFonts w:cs="Cambria"/>
          <w:bCs/>
          <w:i/>
          <w:iCs/>
          <w:szCs w:val="24"/>
          <w:lang w:val="id-ID"/>
        </w:rPr>
        <w:t>Feminist Legal Theory</w:t>
      </w:r>
      <w:r w:rsidRPr="00337F40">
        <w:rPr>
          <w:rFonts w:cs="Cambria"/>
          <w:bCs/>
          <w:szCs w:val="24"/>
          <w:lang w:val="id-ID"/>
        </w:rPr>
        <w:t>, the recognition of power relations in the Sexual Violence Crime Law, Supreme Court Regulation Number 3 of 2017, and the new Criminal Procedure Code represents an important development because it shifts attention from isolated individual acts toward the structural context in which criminal offenses occur.</w:t>
      </w:r>
    </w:p>
    <w:p w14:paraId="7FFCDF1F" w14:textId="77777777" w:rsidR="00337F40" w:rsidRPr="00337F40" w:rsidRDefault="00337F40" w:rsidP="00337F40">
      <w:pPr>
        <w:tabs>
          <w:tab w:val="left" w:pos="567"/>
          <w:tab w:val="left" w:pos="1134"/>
        </w:tabs>
        <w:spacing w:after="0" w:line="240" w:lineRule="auto"/>
        <w:ind w:firstLine="567"/>
        <w:jc w:val="both"/>
        <w:rPr>
          <w:rFonts w:cs="Cambria"/>
          <w:bCs/>
          <w:szCs w:val="24"/>
          <w:lang w:val="id-ID"/>
        </w:rPr>
      </w:pPr>
      <w:r w:rsidRPr="00337F40">
        <w:rPr>
          <w:rFonts w:cs="Cambria"/>
          <w:bCs/>
          <w:szCs w:val="24"/>
          <w:lang w:val="id-ID"/>
        </w:rPr>
        <w:t>The protection of women also cannot be constructed on the assumption that all women share identical experiences. Through the theory of intersectionality, Crenshaw criticizes analytical frameworks that rely on a single axis of identity (</w:t>
      </w:r>
      <w:r w:rsidRPr="00337F40">
        <w:rPr>
          <w:rFonts w:cs="Cambria"/>
          <w:bCs/>
          <w:i/>
          <w:iCs/>
          <w:szCs w:val="24"/>
          <w:lang w:val="id-ID"/>
        </w:rPr>
        <w:t>single-axis framework</w:t>
      </w:r>
      <w:r w:rsidRPr="00337F40">
        <w:rPr>
          <w:rFonts w:cs="Cambria"/>
          <w:bCs/>
          <w:szCs w:val="24"/>
          <w:lang w:val="id-ID"/>
        </w:rPr>
        <w:t>), because discrimination may arise through the intersection of gender with race, social class, disability, and other conditions</w:t>
      </w:r>
      <w:r w:rsidR="00D555EA" w:rsidRPr="00337F40">
        <w:rPr>
          <w:rFonts w:cs="Cambria"/>
          <w:bCs/>
          <w:szCs w:val="24"/>
          <w:lang w:val="id-ID"/>
        </w:rPr>
        <w:t>.</w:t>
      </w:r>
      <w:r w:rsidR="006D671C" w:rsidRPr="00337F40">
        <w:rPr>
          <w:rStyle w:val="ReferensiCatatanKaki"/>
          <w:rFonts w:cs="Cambria"/>
          <w:bCs/>
          <w:szCs w:val="24"/>
          <w:lang w:val="id-ID"/>
        </w:rPr>
        <w:footnoteReference w:id="23"/>
      </w:r>
      <w:r w:rsidR="006D671C" w:rsidRPr="00337F40">
        <w:rPr>
          <w:rFonts w:cs="Cambria"/>
          <w:bCs/>
          <w:szCs w:val="24"/>
          <w:lang w:val="id-ID"/>
        </w:rPr>
        <w:t xml:space="preserve"> </w:t>
      </w:r>
      <w:r w:rsidRPr="00337F40">
        <w:rPr>
          <w:rFonts w:cs="Cambria"/>
          <w:bCs/>
          <w:szCs w:val="24"/>
          <w:lang w:val="id-ID"/>
        </w:rPr>
        <w:t>This concept is relevant to the protection of vulnerable groups in Indonesia. A woman may simultaneously be a person with a disability, a child, an older person, someone from a low-income family, a resident of an area with limited access to legal services, or economically dependent on the perpetrator. The intersection of these conditions creates different forms of barriers, meaning that a single-category approach to protection may be inadequate.</w:t>
      </w:r>
    </w:p>
    <w:p w14:paraId="23089DFA" w14:textId="77777777" w:rsidR="00337F40" w:rsidRPr="00337F40" w:rsidRDefault="00337F40" w:rsidP="00337F40">
      <w:pPr>
        <w:tabs>
          <w:tab w:val="left" w:pos="567"/>
          <w:tab w:val="left" w:pos="1134"/>
        </w:tabs>
        <w:spacing w:after="0" w:line="240" w:lineRule="auto"/>
        <w:ind w:firstLine="567"/>
        <w:jc w:val="both"/>
        <w:rPr>
          <w:rFonts w:cs="Cambria"/>
          <w:bCs/>
          <w:szCs w:val="24"/>
          <w:lang w:val="id-ID"/>
        </w:rPr>
      </w:pPr>
      <w:r>
        <w:rPr>
          <w:rFonts w:cs="Cambria"/>
          <w:bCs/>
          <w:szCs w:val="24"/>
          <w:lang w:val="id-ID"/>
        </w:rPr>
        <w:t xml:space="preserve">Government Regulation Number 30 of 2025 requires accessibility in the prevention of sexual violence for children, persons with disabilities, and older persons, illustrating an increasingly intersection-sensitive policy direction. Yet the legal bases remain distinct. Disability law creates specific duties of accessibility and reasonable accommodation for persons with disabilities; child protection applies the best-interests principle; sexual-violence law provides victim-specific handling and recovery; and general criminal procedure establishes procedural powers and safeguards. The challenge is therefore coordination among different legal standards </w:t>
      </w:r>
      <w:r>
        <w:rPr>
          <w:rFonts w:cs="Cambria"/>
          <w:bCs/>
          <w:szCs w:val="24"/>
          <w:lang w:val="id-ID"/>
        </w:rPr>
        <w:lastRenderedPageBreak/>
        <w:t>when one person falls within multiple categories, not the creation of one undifferentiated concept of vulnerability.</w:t>
      </w:r>
    </w:p>
    <w:p w14:paraId="1CA14116" w14:textId="77777777" w:rsidR="00337F40" w:rsidRPr="00337F40" w:rsidRDefault="00337F40" w:rsidP="00337F40">
      <w:pPr>
        <w:tabs>
          <w:tab w:val="left" w:pos="567"/>
          <w:tab w:val="left" w:pos="1134"/>
        </w:tabs>
        <w:spacing w:after="0" w:line="240" w:lineRule="auto"/>
        <w:ind w:firstLine="567"/>
        <w:jc w:val="both"/>
        <w:rPr>
          <w:rFonts w:cs="Cambria"/>
          <w:bCs/>
          <w:szCs w:val="24"/>
          <w:lang w:val="id-ID"/>
        </w:rPr>
      </w:pPr>
      <w:r>
        <w:rPr>
          <w:rFonts w:cs="Cambria"/>
          <w:bCs/>
          <w:szCs w:val="24"/>
          <w:lang w:val="id-ID"/>
        </w:rPr>
        <w:t>The central finding is therefore operational fragmentation rather than the absence of legal instruments. Rights and remedies are distributed across the Criminal Code, the Criminal Procedure Code, the Sexual Violence Crimes Law, the Domestic Violence Law, the Child Protection Law, the Persons with Disabilities Law, Law Number 3 of 2026 on Witness and Victim Protection, Government Regulations, and Supreme Court Regulations. The fragmentation becomes legally significant when different institutions must identify the same person’s needs, exchange information, provide accommodation or support, and refer the case without weakening due process or duplicating authority.</w:t>
      </w:r>
    </w:p>
    <w:p w14:paraId="714AA47C" w14:textId="77777777" w:rsidR="00150CDF" w:rsidRPr="00150CDF" w:rsidRDefault="00150CDF" w:rsidP="00150CDF">
      <w:pPr>
        <w:tabs>
          <w:tab w:val="left" w:pos="567"/>
          <w:tab w:val="left" w:pos="1134"/>
        </w:tabs>
        <w:spacing w:after="0" w:line="240" w:lineRule="auto"/>
        <w:ind w:firstLine="567"/>
        <w:jc w:val="both"/>
        <w:rPr>
          <w:rFonts w:cs="Cambria"/>
          <w:bCs/>
          <w:szCs w:val="24"/>
          <w:lang w:val="id-ID"/>
        </w:rPr>
      </w:pPr>
      <w:r w:rsidRPr="00150CDF">
        <w:rPr>
          <w:rFonts w:cs="Cambria"/>
          <w:bCs/>
          <w:szCs w:val="24"/>
          <w:lang w:val="id-ID"/>
        </w:rPr>
        <w:t>This issue can be analyzed through Lawrence M. Friedman’s legal system theory. Friedman explains that the operation of law consists of three main elements: legal substance, legal structure, and legal cultur</w:t>
      </w:r>
      <w:r>
        <w:rPr>
          <w:rFonts w:cs="Cambria"/>
          <w:bCs/>
          <w:szCs w:val="24"/>
          <w:lang w:val="id-ID"/>
        </w:rPr>
        <w:t>e.</w:t>
      </w:r>
      <w:r w:rsidR="00032B68" w:rsidRPr="00032B68">
        <w:rPr>
          <w:rStyle w:val="ReferensiCatatanKaki"/>
          <w:rFonts w:cs="Cambria"/>
          <w:bCs/>
          <w:szCs w:val="24"/>
          <w:lang w:val="id-ID"/>
        </w:rPr>
        <w:footnoteReference w:id="24"/>
      </w:r>
      <w:r>
        <w:rPr>
          <w:rFonts w:cs="Cambria"/>
          <w:bCs/>
          <w:szCs w:val="24"/>
          <w:lang w:val="id-ID"/>
        </w:rPr>
        <w:t xml:space="preserve"> </w:t>
      </w:r>
      <w:r w:rsidRPr="00150CDF">
        <w:rPr>
          <w:rFonts w:cs="Cambria"/>
          <w:bCs/>
          <w:szCs w:val="24"/>
          <w:lang w:val="id-ID"/>
        </w:rPr>
        <w:t xml:space="preserve">Progressive legal norms, as part of legal substance, do not automatically ensure the effective operation of law if the implementing structure remains inadequate or if the prevailing legal culture continues to reproduce stereotypes and discriminatory patterns. In the context of this study, legal substance has shown significant progress. The issue therefore shifts to how investigators, public prosecutors, judges, advocates, service providers, local governments, and supporting institutions interpret and implement these norms. </w:t>
      </w:r>
      <w:r w:rsidRPr="00150CDF">
        <w:rPr>
          <w:rFonts w:cs="Cambria"/>
          <w:bCs/>
          <w:i/>
          <w:iCs/>
          <w:szCs w:val="24"/>
          <w:lang w:val="id-ID"/>
        </w:rPr>
        <w:t>Victim blaming</w:t>
      </w:r>
      <w:r w:rsidRPr="00150CDF">
        <w:rPr>
          <w:rFonts w:cs="Cambria"/>
          <w:bCs/>
          <w:szCs w:val="24"/>
          <w:lang w:val="id-ID"/>
        </w:rPr>
        <w:t>, stereotypes against women, the absence of accessible facilities, limited availability of assistance, and a lack of understanding of overlapping vulnerabilities may reduce the effectiveness of protective legal norms.</w:t>
      </w:r>
    </w:p>
    <w:p w14:paraId="57950B6D" w14:textId="77777777" w:rsidR="00150CDF" w:rsidRPr="00150CDF" w:rsidRDefault="00150CDF" w:rsidP="00150CDF">
      <w:pPr>
        <w:tabs>
          <w:tab w:val="left" w:pos="567"/>
          <w:tab w:val="left" w:pos="1134"/>
        </w:tabs>
        <w:spacing w:after="0" w:line="240" w:lineRule="auto"/>
        <w:ind w:firstLine="567"/>
        <w:jc w:val="both"/>
        <w:rPr>
          <w:rFonts w:cs="Cambria"/>
          <w:bCs/>
          <w:szCs w:val="24"/>
          <w:lang w:val="id-ID"/>
        </w:rPr>
      </w:pPr>
      <w:r w:rsidRPr="00150CDF">
        <w:rPr>
          <w:rFonts w:cs="Cambria"/>
          <w:bCs/>
          <w:szCs w:val="24"/>
          <w:lang w:val="id-ID"/>
        </w:rPr>
        <w:t xml:space="preserve">Komnas Perempuan has also identified disparities between the stages of reporting, prosecution, and judicial decisions within the justice system. This finding reinforces the argument that </w:t>
      </w:r>
      <w:r w:rsidRPr="00150CDF">
        <w:rPr>
          <w:rFonts w:cs="Cambria"/>
          <w:bCs/>
          <w:i/>
          <w:iCs/>
          <w:szCs w:val="24"/>
          <w:lang w:val="id-ID"/>
        </w:rPr>
        <w:t>normative recognition</w:t>
      </w:r>
      <w:r w:rsidRPr="00150CDF">
        <w:rPr>
          <w:rFonts w:cs="Cambria"/>
          <w:bCs/>
          <w:szCs w:val="24"/>
          <w:lang w:val="id-ID"/>
        </w:rPr>
        <w:t xml:space="preserve"> does not always translate into </w:t>
      </w:r>
      <w:r w:rsidRPr="00150CDF">
        <w:rPr>
          <w:rFonts w:cs="Cambria"/>
          <w:bCs/>
          <w:i/>
          <w:iCs/>
          <w:szCs w:val="24"/>
          <w:lang w:val="id-ID"/>
        </w:rPr>
        <w:t>effective protection</w:t>
      </w:r>
      <w:r w:rsidRPr="00150CDF">
        <w:rPr>
          <w:rFonts w:cs="Cambria"/>
          <w:bCs/>
          <w:szCs w:val="24"/>
          <w:lang w:val="id-ID"/>
        </w:rPr>
        <w:t xml:space="preserve">. At the same time, a gender perspective cannot be applied by disregarding the fundamental principles of criminal law. The principles of legality, legal certainty, presumption of innocence, the right to defense, </w:t>
      </w:r>
      <w:r w:rsidRPr="00150CDF">
        <w:rPr>
          <w:rFonts w:cs="Cambria"/>
          <w:bCs/>
          <w:i/>
          <w:iCs/>
          <w:szCs w:val="24"/>
          <w:lang w:val="id-ID"/>
        </w:rPr>
        <w:t>due process of law</w:t>
      </w:r>
      <w:r w:rsidRPr="00150CDF">
        <w:rPr>
          <w:rFonts w:cs="Cambria"/>
          <w:bCs/>
          <w:szCs w:val="24"/>
          <w:lang w:val="id-ID"/>
        </w:rPr>
        <w:t>, and proportionality must remain essential safeguards. Victim protection and the rights of suspects or defendants should not be treated as conflicting objectives. A gender-responsive criminal justice system should instead guarantee both simultaneously.</w:t>
      </w:r>
    </w:p>
    <w:p w14:paraId="0BE44179" w14:textId="77777777" w:rsidR="00150CDF" w:rsidRPr="000439ED" w:rsidRDefault="00150CDF" w:rsidP="00150CDF">
      <w:pPr>
        <w:tabs>
          <w:tab w:val="left" w:pos="567"/>
          <w:tab w:val="left" w:pos="1134"/>
        </w:tabs>
        <w:spacing w:after="0" w:line="240" w:lineRule="auto"/>
        <w:ind w:firstLine="567"/>
        <w:jc w:val="both"/>
        <w:rPr>
          <w:rFonts w:cs="Cambria"/>
          <w:bCs/>
          <w:szCs w:val="24"/>
          <w:lang w:val="id-ID"/>
        </w:rPr>
      </w:pPr>
      <w:r w:rsidRPr="00150CDF">
        <w:rPr>
          <w:rFonts w:cs="Cambria"/>
          <w:bCs/>
          <w:szCs w:val="24"/>
          <w:lang w:val="id-ID"/>
        </w:rPr>
        <w:t>Based on this analysis, the normative construction of Indonesian criminal law can be considered to have moved toward greater protection based on gender and social inclusion, particularly through the recognition of non-discrimination, power relations, accessibility, assistance, restitution, compensation, and recovery. However, these forms of protection have not yet been fully integrated. The main challenges lie in harmonizing legal norms, recognizing overlapping vulnerabilities, and transforming legal structures and legal culture so that formal justice can develop into substantive justice.</w:t>
      </w:r>
    </w:p>
    <w:p w14:paraId="4EB06F83" w14:textId="6B9F0859" w:rsidR="00D555EA" w:rsidRPr="001037B8" w:rsidRDefault="00150CDF" w:rsidP="001037B8">
      <w:pPr>
        <w:tabs>
          <w:tab w:val="left" w:pos="567"/>
        </w:tabs>
        <w:spacing w:before="120" w:after="0" w:line="240" w:lineRule="auto"/>
        <w:jc w:val="both"/>
        <w:rPr>
          <w:rFonts w:cs="Cambria"/>
          <w:b/>
          <w:bCs/>
          <w:szCs w:val="24"/>
          <w:lang w:val="id-ID"/>
        </w:rPr>
      </w:pPr>
      <w:r w:rsidRPr="001037B8">
        <w:rPr>
          <w:rFonts w:cs="Cambria"/>
          <w:b/>
          <w:bCs/>
          <w:szCs w:val="24"/>
        </w:rPr>
        <w:t xml:space="preserve">A Gender-Responsive and Socially Inclusive </w:t>
      </w:r>
      <w:r w:rsidR="00ED2616" w:rsidRPr="001037B8">
        <w:rPr>
          <w:rFonts w:cs="Cambria"/>
          <w:b/>
          <w:bCs/>
          <w:szCs w:val="24"/>
          <w:lang w:val="id-ID"/>
        </w:rPr>
        <w:t>Ruang Bersama Indonesia</w:t>
      </w:r>
      <w:r w:rsidRPr="001037B8">
        <w:rPr>
          <w:rFonts w:cs="Cambria"/>
          <w:b/>
          <w:bCs/>
          <w:szCs w:val="24"/>
        </w:rPr>
        <w:t xml:space="preserve"> Policy Model</w:t>
      </w:r>
    </w:p>
    <w:p w14:paraId="61B2C30A" w14:textId="1368591E" w:rsidR="000B46F0" w:rsidRPr="000B46F0" w:rsidRDefault="00ED2616" w:rsidP="000B46F0">
      <w:pPr>
        <w:tabs>
          <w:tab w:val="left" w:pos="851"/>
        </w:tabs>
        <w:spacing w:after="0" w:line="240" w:lineRule="auto"/>
        <w:ind w:firstLine="567"/>
        <w:jc w:val="both"/>
        <w:rPr>
          <w:rFonts w:cs="Cambria"/>
          <w:bCs/>
          <w:szCs w:val="24"/>
          <w:lang w:val="id-ID"/>
        </w:rPr>
      </w:pPr>
      <w:r>
        <w:rPr>
          <w:rFonts w:cs="Cambria"/>
          <w:szCs w:val="24"/>
          <w:lang w:val="id-ID"/>
        </w:rPr>
        <w:lastRenderedPageBreak/>
        <w:t>Ruang Bersama Indonesia</w:t>
      </w:r>
      <w:r w:rsidR="000B46F0">
        <w:rPr>
          <w:rFonts w:cs="Cambria"/>
          <w:bCs/>
          <w:szCs w:val="24"/>
          <w:lang w:val="id-ID"/>
        </w:rPr>
        <w:t xml:space="preserve"> can be developed as an integrative policy framework only within the boundaries of its lawful institutional role. The official programme provides a community-based collaborative platform for women’s empowerment and child protection; the broader model proposed here is a policy recommendation that connects </w:t>
      </w:r>
      <w:r>
        <w:rPr>
          <w:rFonts w:cs="Cambria"/>
          <w:szCs w:val="24"/>
          <w:lang w:val="id-ID"/>
        </w:rPr>
        <w:t>Ruang Bersama Indonesia</w:t>
      </w:r>
      <w:r w:rsidR="000B46F0">
        <w:rPr>
          <w:rFonts w:cs="Cambria"/>
          <w:bCs/>
          <w:szCs w:val="24"/>
          <w:lang w:val="id-ID"/>
        </w:rPr>
        <w:t>-type community functions with the formal criminal-justice and victim-service system. It is not a new penal regime and does not enlarge criminalization or coercive state authority.</w:t>
      </w:r>
    </w:p>
    <w:p w14:paraId="2ACA1677" w14:textId="7E607A61" w:rsidR="00E244D7" w:rsidRDefault="000B46F0" w:rsidP="00E244D7">
      <w:pPr>
        <w:tabs>
          <w:tab w:val="left" w:pos="851"/>
        </w:tabs>
        <w:spacing w:after="0" w:line="240" w:lineRule="auto"/>
        <w:ind w:firstLine="567"/>
        <w:jc w:val="both"/>
        <w:rPr>
          <w:rFonts w:cs="Cambria"/>
          <w:bCs/>
          <w:szCs w:val="24"/>
          <w:lang w:val="id-ID"/>
        </w:rPr>
      </w:pPr>
      <w:r w:rsidRPr="000B46F0">
        <w:rPr>
          <w:rFonts w:cs="Cambria"/>
          <w:bCs/>
          <w:szCs w:val="24"/>
          <w:lang w:val="id-ID"/>
        </w:rPr>
        <w:t>From the perspective of criminal law policy, this construction is relevant. Barda Nawawi Arief views criminal law policy as part of a broader framework of criminal policy and social policy.</w:t>
      </w:r>
      <w:r w:rsidR="00B53016">
        <w:rPr>
          <w:rStyle w:val="ReferensiCatatanKaki"/>
          <w:rFonts w:cs="Cambria"/>
          <w:bCs/>
          <w:szCs w:val="24"/>
          <w:lang w:val="id-ID"/>
        </w:rPr>
        <w:footnoteReference w:id="25"/>
      </w:r>
      <w:r w:rsidR="00D555EA" w:rsidRPr="000439ED">
        <w:rPr>
          <w:rFonts w:cs="Cambria"/>
          <w:bCs/>
          <w:szCs w:val="24"/>
          <w:lang w:val="id-ID"/>
        </w:rPr>
        <w:t xml:space="preserve"> </w:t>
      </w:r>
      <w:r w:rsidRPr="000B46F0">
        <w:rPr>
          <w:rFonts w:cs="Cambria"/>
          <w:bCs/>
          <w:szCs w:val="24"/>
          <w:lang w:val="id-ID"/>
        </w:rPr>
        <w:t>Crime prevention cannot rely solely on penal measures but must also be connected to non-penal policies that address the social conditions enabling crime to occur. Under this approach, Ruang Bersama Indonesia can serve as a connecting point between social prevention, protection, and criminal law enforcement.</w:t>
      </w:r>
    </w:p>
    <w:p w14:paraId="728B1EDF" w14:textId="4B44FABA" w:rsidR="000B46F0" w:rsidRDefault="000B46F0" w:rsidP="000B46F0">
      <w:pPr>
        <w:tabs>
          <w:tab w:val="left" w:pos="851"/>
        </w:tabs>
        <w:spacing w:after="0" w:line="240" w:lineRule="auto"/>
        <w:ind w:firstLine="567"/>
        <w:jc w:val="both"/>
        <w:rPr>
          <w:rFonts w:cs="Cambria"/>
          <w:bCs/>
          <w:szCs w:val="24"/>
          <w:lang w:val="id-ID"/>
        </w:rPr>
      </w:pPr>
      <w:r>
        <w:rPr>
          <w:rFonts w:cs="Cambria"/>
          <w:bCs/>
          <w:szCs w:val="24"/>
          <w:lang w:val="id-ID"/>
        </w:rPr>
        <w:t xml:space="preserve">The limits of </w:t>
      </w:r>
      <w:r w:rsidR="00334743" w:rsidRPr="000B46F0">
        <w:rPr>
          <w:rFonts w:cs="Cambria"/>
          <w:bCs/>
          <w:szCs w:val="24"/>
          <w:lang w:val="id-ID"/>
        </w:rPr>
        <w:t xml:space="preserve">Ruang Bersama </w:t>
      </w:r>
      <w:r w:rsidR="00334743">
        <w:rPr>
          <w:rFonts w:cs="Cambria"/>
          <w:bCs/>
          <w:szCs w:val="24"/>
          <w:lang w:val="id-ID"/>
        </w:rPr>
        <w:t xml:space="preserve">Indonesia </w:t>
      </w:r>
      <w:r>
        <w:rPr>
          <w:rFonts w:cs="Cambria"/>
          <w:bCs/>
          <w:szCs w:val="24"/>
          <w:lang w:val="id-ID"/>
        </w:rPr>
        <w:t xml:space="preserve">follow from legality, attribution of authority, and due process. </w:t>
      </w:r>
      <w:r w:rsidR="00334743" w:rsidRPr="000B46F0">
        <w:rPr>
          <w:rFonts w:cs="Cambria"/>
          <w:bCs/>
          <w:szCs w:val="24"/>
          <w:lang w:val="id-ID"/>
        </w:rPr>
        <w:t>Ruang Bersama Indonesia</w:t>
      </w:r>
      <w:r>
        <w:rPr>
          <w:rFonts w:cs="Cambria"/>
          <w:bCs/>
          <w:szCs w:val="24"/>
          <w:lang w:val="id-ID"/>
        </w:rPr>
        <w:t xml:space="preserve"> cannot investigate through coercive powers, determine criminal liability, compel reconciliation, prosecute, adjudicate, or perform clinical and other professional functions without the legally required competence. Its legitimate functions are non-coercive prevention, information, early risk identification, accompaniment, and referral. Any escalation to formal legal action must be transferred to the institution that holds statutory authority.</w:t>
      </w:r>
    </w:p>
    <w:p w14:paraId="17857599" w14:textId="7F38FFDC" w:rsidR="00E26081" w:rsidRDefault="00E26081" w:rsidP="000B46F0">
      <w:pPr>
        <w:tabs>
          <w:tab w:val="left" w:pos="851"/>
        </w:tabs>
        <w:spacing w:after="0" w:line="240" w:lineRule="auto"/>
        <w:ind w:firstLine="567"/>
        <w:jc w:val="both"/>
        <w:rPr>
          <w:rFonts w:cs="Cambria"/>
          <w:bCs/>
          <w:szCs w:val="24"/>
          <w:lang w:val="id-ID"/>
        </w:rPr>
      </w:pPr>
      <w:r w:rsidRPr="00E26081">
        <w:rPr>
          <w:rFonts w:cs="Cambria"/>
          <w:bCs/>
          <w:szCs w:val="24"/>
        </w:rPr>
        <w:t>Within this institutional boundary, the development of Ruang Bersama Indonesia as an integrative policy framework requires a structured formulation of policy dimensions that respond to the identified normative and institutional challenges. These dimensions are not intended to create new legal authorities or parallel mechanisms, but rather to strengthen coordination among existing legal instruments and competent institutions. Each dimension is derived from the identified gaps in the current protection framework and is designed to ensure that community-based functions can effectively support prevention, protection, recovery, and access to justice while remaining consistent with the principles of legality, institutional competence, and due process.</w:t>
      </w:r>
    </w:p>
    <w:p w14:paraId="355D0DA8" w14:textId="77777777" w:rsidR="006E05AF" w:rsidRDefault="00503A90" w:rsidP="006E05AF">
      <w:pPr>
        <w:tabs>
          <w:tab w:val="left" w:pos="851"/>
        </w:tabs>
        <w:spacing w:after="0" w:line="240" w:lineRule="auto"/>
        <w:ind w:firstLine="567"/>
        <w:jc w:val="both"/>
        <w:rPr>
          <w:rFonts w:cs="Cambria"/>
          <w:bCs/>
          <w:szCs w:val="24"/>
          <w:lang w:val="id-ID"/>
        </w:rPr>
      </w:pPr>
      <w:r w:rsidRPr="00503A90">
        <w:rPr>
          <w:rFonts w:cs="Cambria"/>
          <w:szCs w:val="24"/>
          <w:lang w:val="id-ID"/>
        </w:rPr>
        <w:t>First, harmonization of legal norms is necessary because the existing protection framework remains dispersed across various regulations. Harmonization does not mean consolidating all regulations into a single statute, but rather ensuring that each legal instrument is interpreted as part of a complementary and interconnected system. Law enforcement officials should not focus solely on the provisions defining criminal offenses, but must also consider victims’ rights, accommodation needs, restitution, assistance, and recovery as regulated in the relevant legal instruments.</w:t>
      </w:r>
    </w:p>
    <w:p w14:paraId="7FF4FD8D" w14:textId="054C49FF" w:rsidR="006E05AF" w:rsidRDefault="00503A90" w:rsidP="006E05AF">
      <w:pPr>
        <w:tabs>
          <w:tab w:val="left" w:pos="851"/>
        </w:tabs>
        <w:spacing w:after="0" w:line="240" w:lineRule="auto"/>
        <w:ind w:firstLine="567"/>
        <w:jc w:val="both"/>
        <w:rPr>
          <w:rFonts w:cs="Cambria"/>
          <w:bCs/>
          <w:szCs w:val="24"/>
          <w:lang w:val="id-ID"/>
        </w:rPr>
      </w:pPr>
      <w:r>
        <w:rPr>
          <w:rFonts w:cs="Cambria"/>
          <w:szCs w:val="24"/>
          <w:lang w:val="id-ID"/>
        </w:rPr>
        <w:t xml:space="preserve">Second, vulnerability assessment should occur at the earliest appropriate contact point but must be operationally defined. An initial non-clinical screening may be conducted by trained frontline officers or service providers to identify age, disability, communication barriers, relationship with the alleged perpetrator, immediate safety risk, economic dependency, need for an interpreter or assistant, </w:t>
      </w:r>
      <w:r>
        <w:rPr>
          <w:rFonts w:cs="Cambria"/>
          <w:szCs w:val="24"/>
          <w:lang w:val="id-ID"/>
        </w:rPr>
        <w:lastRenderedPageBreak/>
        <w:t>and other legally relevant circumstances. Where disability-specific personal assessment or professional assessment is required by law, it must be performed by the competent professional rather than by R</w:t>
      </w:r>
      <w:r w:rsidR="00086427">
        <w:rPr>
          <w:rFonts w:cs="Cambria"/>
          <w:szCs w:val="24"/>
          <w:lang w:val="id-ID"/>
        </w:rPr>
        <w:t>uang Bersama Indonesia</w:t>
      </w:r>
      <w:r>
        <w:rPr>
          <w:rFonts w:cs="Cambria"/>
          <w:szCs w:val="24"/>
          <w:lang w:val="id-ID"/>
        </w:rPr>
        <w:t xml:space="preserve"> personnel. The assessment should be repeated when circumstances change, stored with restricted access, and used only to trigger proportionate safeguards, referrals, and procedural adjustments.</w:t>
      </w:r>
    </w:p>
    <w:p w14:paraId="4E826630" w14:textId="77777777" w:rsidR="006E05AF" w:rsidRDefault="00503A90" w:rsidP="006E05AF">
      <w:pPr>
        <w:tabs>
          <w:tab w:val="left" w:pos="851"/>
        </w:tabs>
        <w:spacing w:after="0" w:line="240" w:lineRule="auto"/>
        <w:ind w:firstLine="567"/>
        <w:jc w:val="both"/>
        <w:rPr>
          <w:rFonts w:cs="Cambria"/>
          <w:bCs/>
          <w:szCs w:val="24"/>
          <w:lang w:val="id-ID"/>
        </w:rPr>
      </w:pPr>
      <w:r>
        <w:rPr>
          <w:rFonts w:cs="Cambria"/>
          <w:szCs w:val="24"/>
          <w:lang w:val="id-ID"/>
        </w:rPr>
        <w:t>Third, the model must distinguish accessibility from legally defined reasonable accommodation. Accessibility is a system-wide obligation to remove barriers. Reasonable accommodation is a specific legal entitlement for persons with disabilities under disability law and judicial regulations; it should not be conceptually extended to all vulnerable groups without a legal basis. Other persons may require language assistance, safety planning, childcare support, transport, or other procedural support, but those measures should be grounded in the relevant victim, child-protection, procedural, or service regulation rather than relabelled as disability accommodation.</w:t>
      </w:r>
    </w:p>
    <w:p w14:paraId="1286701F" w14:textId="77777777" w:rsidR="006E05AF" w:rsidRDefault="00503A90" w:rsidP="006E05AF">
      <w:pPr>
        <w:tabs>
          <w:tab w:val="left" w:pos="851"/>
        </w:tabs>
        <w:spacing w:after="0" w:line="240" w:lineRule="auto"/>
        <w:ind w:firstLine="567"/>
        <w:jc w:val="both"/>
        <w:rPr>
          <w:rFonts w:cs="Cambria"/>
          <w:bCs/>
          <w:szCs w:val="24"/>
          <w:lang w:val="id-ID"/>
        </w:rPr>
      </w:pPr>
      <w:r w:rsidRPr="00503A90">
        <w:rPr>
          <w:rFonts w:cs="Cambria"/>
          <w:szCs w:val="24"/>
          <w:lang w:val="id-ID"/>
        </w:rPr>
        <w:t xml:space="preserve">Fourth, the system should implement </w:t>
      </w:r>
      <w:r w:rsidRPr="00503A90">
        <w:rPr>
          <w:rFonts w:cs="Cambria"/>
          <w:i/>
          <w:iCs/>
          <w:szCs w:val="24"/>
          <w:lang w:val="id-ID"/>
        </w:rPr>
        <w:t>victim-centered justice</w:t>
      </w:r>
      <w:r w:rsidRPr="00503A90">
        <w:rPr>
          <w:rFonts w:cs="Cambria"/>
          <w:szCs w:val="24"/>
          <w:lang w:val="id-ID"/>
        </w:rPr>
        <w:t xml:space="preserve"> without diminishing the guarantees of </w:t>
      </w:r>
      <w:r w:rsidRPr="00503A90">
        <w:rPr>
          <w:rFonts w:cs="Cambria"/>
          <w:i/>
          <w:iCs/>
          <w:szCs w:val="24"/>
          <w:lang w:val="id-ID"/>
        </w:rPr>
        <w:t>due process of law</w:t>
      </w:r>
      <w:r w:rsidRPr="00503A90">
        <w:rPr>
          <w:rFonts w:cs="Cambria"/>
          <w:szCs w:val="24"/>
          <w:lang w:val="id-ID"/>
        </w:rPr>
        <w:t>. Victims must be treated as legal subjects who are entitled to information, security, assistance, recovery, restitution, and protection from secondary victimization. At the same time, suspects and defendants remain entitled to the presumption of innocence, the right to defense, objective examination, and a fair legal process. This balance is essential to prevent a gender perspective from being misunderstood as partiality that undermines the objectivity of criminal proceedings. A gender perspective serves to eliminate bias and structural barriers rather than to replace evidentiary requirements or the principle of legality.</w:t>
      </w:r>
    </w:p>
    <w:p w14:paraId="6D1A8115" w14:textId="77777777" w:rsidR="006E05AF" w:rsidRDefault="00503A90" w:rsidP="006E05AF">
      <w:pPr>
        <w:tabs>
          <w:tab w:val="left" w:pos="851"/>
        </w:tabs>
        <w:spacing w:after="0" w:line="240" w:lineRule="auto"/>
        <w:ind w:firstLine="567"/>
        <w:jc w:val="both"/>
        <w:rPr>
          <w:rFonts w:cs="Cambria"/>
          <w:bCs/>
          <w:szCs w:val="24"/>
          <w:lang w:val="id-ID"/>
        </w:rPr>
      </w:pPr>
      <w:r>
        <w:rPr>
          <w:rFonts w:cs="Cambria"/>
          <w:szCs w:val="24"/>
          <w:lang w:val="id-ID"/>
        </w:rPr>
        <w:t>Fifth, community-based prevention should be linked to a mandatory referral logic. RBI may provide legal literacy, gender-equality education, risk identification, safe reporting access, accompaniment, and referral-network coordination. It should never substitute informal settlement for investigation or prosecution where formal processing is legally required, and it should not pressure victims to reconcile. A minimum referral protocol should identify the receiving institution, urgency level, consent and confidentiality rules, information to be transferred, confirmation of receipt, and follow-up responsibility.</w:t>
      </w:r>
    </w:p>
    <w:p w14:paraId="19413E0B" w14:textId="3BD1724B" w:rsidR="00503A90" w:rsidRPr="00503A90" w:rsidRDefault="00503A90" w:rsidP="006E05AF">
      <w:pPr>
        <w:tabs>
          <w:tab w:val="left" w:pos="851"/>
        </w:tabs>
        <w:spacing w:after="0" w:line="240" w:lineRule="auto"/>
        <w:ind w:firstLine="567"/>
        <w:jc w:val="both"/>
        <w:rPr>
          <w:rFonts w:cs="Cambria"/>
          <w:bCs/>
          <w:szCs w:val="24"/>
          <w:lang w:val="id-ID"/>
        </w:rPr>
      </w:pPr>
      <w:r>
        <w:rPr>
          <w:rFonts w:cs="Cambria"/>
          <w:szCs w:val="24"/>
          <w:lang w:val="id-ID"/>
        </w:rPr>
        <w:t>Sixth, data integration must be treated as data governance rather than unrestricted data sharing. Every data exchange should have an identified lawful basis and purpose, observe confidentiality and victim-safety requirements, limit data to what is necessary, restrict access by role, record access and transfer activity, define retention periods, and provide procedures for correction and incident response. Particularly sensitive victim and disability information should not become broadly visible merely because several institutions participate in a referral network. Accountability therefore requires both interoperability and minimization.</w:t>
      </w:r>
    </w:p>
    <w:p w14:paraId="76F5F3A0" w14:textId="660FECBD" w:rsidR="000B46F0" w:rsidRPr="000B46F0" w:rsidRDefault="00BA1045" w:rsidP="000B46F0">
      <w:pPr>
        <w:tabs>
          <w:tab w:val="left" w:pos="567"/>
        </w:tabs>
        <w:spacing w:after="0" w:line="240" w:lineRule="auto"/>
        <w:ind w:firstLine="567"/>
        <w:jc w:val="both"/>
        <w:rPr>
          <w:rFonts w:cs="Cambria"/>
          <w:bCs/>
          <w:szCs w:val="24"/>
          <w:lang w:val="id-ID"/>
        </w:rPr>
      </w:pPr>
      <w:r>
        <w:rPr>
          <w:rFonts w:cs="Cambria"/>
          <w:bCs/>
          <w:szCs w:val="24"/>
          <w:lang w:val="id-ID"/>
        </w:rPr>
        <w:t>Ruang Bersama Indonesia</w:t>
      </w:r>
      <w:r w:rsidR="000B46F0">
        <w:rPr>
          <w:rFonts w:cs="Cambria"/>
          <w:bCs/>
          <w:szCs w:val="24"/>
          <w:lang w:val="id-ID"/>
        </w:rPr>
        <w:t xml:space="preserve"> strategic value lies in reaching people before they enter formal justice institutions. Victims may first approach families, village officials, community organizations, health workers, schools, or local services. R</w:t>
      </w:r>
      <w:r w:rsidR="00BA390B">
        <w:rPr>
          <w:rFonts w:cs="Cambria"/>
          <w:bCs/>
          <w:szCs w:val="24"/>
          <w:lang w:val="id-ID"/>
        </w:rPr>
        <w:t>uang Bersama Indonesia</w:t>
      </w:r>
      <w:r w:rsidR="000B46F0">
        <w:rPr>
          <w:rFonts w:cs="Cambria"/>
          <w:bCs/>
          <w:szCs w:val="24"/>
          <w:lang w:val="id-ID"/>
        </w:rPr>
        <w:t xml:space="preserve"> can function as an access and referral node that helps the person identify the appropriate competent institution. It must not, however, take over police investigation, prosecutorial decision-making, court adjudication, LPSK protection </w:t>
      </w:r>
      <w:r w:rsidR="000B46F0">
        <w:rPr>
          <w:rFonts w:cs="Cambria"/>
          <w:bCs/>
          <w:szCs w:val="24"/>
          <w:lang w:val="id-ID"/>
        </w:rPr>
        <w:lastRenderedPageBreak/>
        <w:t>powers, UPTD PPA service responsibilities, or professional health and psychosocial functions.</w:t>
      </w:r>
    </w:p>
    <w:p w14:paraId="549033D7" w14:textId="77777777" w:rsidR="000B46F0" w:rsidRPr="000B46F0" w:rsidRDefault="000B46F0" w:rsidP="000B46F0">
      <w:pPr>
        <w:tabs>
          <w:tab w:val="left" w:pos="567"/>
        </w:tabs>
        <w:spacing w:after="0" w:line="240" w:lineRule="auto"/>
        <w:ind w:firstLine="567"/>
        <w:jc w:val="both"/>
        <w:rPr>
          <w:rFonts w:cs="Cambria"/>
          <w:bCs/>
          <w:szCs w:val="24"/>
          <w:lang w:val="id-ID"/>
        </w:rPr>
      </w:pPr>
      <w:r>
        <w:rPr>
          <w:rFonts w:cs="Cambria"/>
          <w:bCs/>
          <w:szCs w:val="24"/>
          <w:lang w:val="id-ID"/>
        </w:rPr>
        <w:t>This design is consistent with CEDAW General Recommendation No. 33, which treats access to justice as multidimensional, encompassing availability, accessibility, quality, remedies, and accountability.</w:t>
      </w:r>
      <w:r>
        <w:rPr>
          <w:rFonts w:cs="Cambria"/>
          <w:bCs/>
          <w:szCs w:val="24"/>
          <w:vertAlign w:val="superscript"/>
          <w:lang w:val="id-ID"/>
        </w:rPr>
        <w:footnoteReference w:id="26"/>
      </w:r>
      <w:r>
        <w:rPr>
          <w:rFonts w:cs="Cambria"/>
          <w:bCs/>
          <w:szCs w:val="24"/>
          <w:lang w:val="id-ID"/>
        </w:rPr>
        <w:t xml:space="preserve"> It also preserves due process: community support can lower access barriers while formal criminal liability remains determined only through procedures and institutions authorized by law. In sexual-violence cases or other contexts of unequal power, RBI should not become a reconciliation forum that pressures victims to resolve conduct informally where formal legal mechanisms are required or requested.</w:t>
      </w:r>
    </w:p>
    <w:p w14:paraId="137F4762" w14:textId="05D61E25" w:rsidR="000B46F0" w:rsidRDefault="000B46F0" w:rsidP="00870299">
      <w:pPr>
        <w:tabs>
          <w:tab w:val="left" w:pos="567"/>
        </w:tabs>
        <w:spacing w:after="0" w:line="240" w:lineRule="auto"/>
        <w:ind w:firstLine="567"/>
        <w:jc w:val="both"/>
        <w:rPr>
          <w:rFonts w:cs="Cambria"/>
          <w:bCs/>
          <w:szCs w:val="24"/>
          <w:lang w:val="id-ID"/>
        </w:rPr>
      </w:pPr>
      <w:r>
        <w:rPr>
          <w:rFonts w:cs="Cambria"/>
          <w:bCs/>
          <w:szCs w:val="24"/>
          <w:lang w:val="id-ID"/>
        </w:rPr>
        <w:t>The official RBI programme remains principally focused on women’s empowerment and child protection. Extending the model analytically to other vulnerable groups is therefore a proposal of this study, not a description of RBI’s current statutory mandate. Such an extension must remain compatible with sector-specific rights: persons with disabilities retain their legal rights to accessibility and reasonable accommodation; children retain best-interests protections; older persons and economically vulnerable persons require support grounded in their applicable legal and service frameworks.</w:t>
      </w:r>
    </w:p>
    <w:p w14:paraId="14E227A3" w14:textId="1BF27E51" w:rsidR="00503A90" w:rsidRDefault="00454AE4" w:rsidP="008A6FAE">
      <w:pPr>
        <w:tabs>
          <w:tab w:val="left" w:pos="567"/>
        </w:tabs>
        <w:spacing w:after="0" w:line="240" w:lineRule="auto"/>
        <w:ind w:firstLine="567"/>
        <w:jc w:val="both"/>
        <w:rPr>
          <w:rFonts w:cs="Cambria"/>
          <w:bCs/>
          <w:szCs w:val="24"/>
          <w:lang w:val="id-ID"/>
        </w:rPr>
      </w:pPr>
      <w:r w:rsidRPr="00454AE4">
        <w:rPr>
          <w:rFonts w:cs="Cambria"/>
          <w:bCs/>
          <w:szCs w:val="24"/>
        </w:rPr>
        <w:t>Accordingly, the proposed expansion of Ruang Bersama Indonesia should be understood as a coordination-based policy framework rather than a uniform approach to vulnerability. Different forms of vulnerability require different legal responses, institutional responsibilities, and support mechanisms. The model therefore does not seek to replace existing sectoral protection systems, but to establish a structured relationship among community-based prevention, formal legal institutions, and specialized services. Within this framework, RBI serves as a connecting mechanism that improves access to existing protections while maintaining the distinct mandates and legal responsibilities of each competent institution.</w:t>
      </w:r>
    </w:p>
    <w:p w14:paraId="431BEEEA" w14:textId="7BE68021" w:rsidR="008A6FAE" w:rsidRPr="000439ED" w:rsidRDefault="008A6FAE" w:rsidP="00870299">
      <w:pPr>
        <w:tabs>
          <w:tab w:val="left" w:pos="567"/>
        </w:tabs>
        <w:spacing w:after="0" w:line="240" w:lineRule="auto"/>
        <w:jc w:val="center"/>
        <w:rPr>
          <w:rFonts w:cs="Cambria"/>
          <w:bCs/>
          <w:szCs w:val="24"/>
          <w:lang w:val="id-ID"/>
        </w:rPr>
      </w:pPr>
      <w:r>
        <w:rPr>
          <w:rFonts w:cs="Cambria"/>
          <w:bCs/>
          <w:noProof/>
          <w:szCs w:val="24"/>
          <w:lang w:val="id-ID"/>
        </w:rPr>
        <w:drawing>
          <wp:inline distT="0" distB="0" distL="0" distR="0" wp14:anchorId="54CE5B56" wp14:editId="40E4B315">
            <wp:extent cx="4008355" cy="2672080"/>
            <wp:effectExtent l="0" t="0" r="5080" b="0"/>
            <wp:docPr id="2113861790"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61790" name="Gambar 2113861790"/>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22582" cy="2681564"/>
                    </a:xfrm>
                    <a:prstGeom prst="rect">
                      <a:avLst/>
                    </a:prstGeom>
                  </pic:spPr>
                </pic:pic>
              </a:graphicData>
            </a:graphic>
          </wp:inline>
        </w:drawing>
      </w:r>
    </w:p>
    <w:p w14:paraId="70B3EBFA" w14:textId="255EFE11" w:rsidR="00D555EA" w:rsidRPr="00870299" w:rsidRDefault="000B46F0" w:rsidP="00870299">
      <w:pPr>
        <w:spacing w:before="120" w:beforeAutospacing="1" w:after="0" w:afterAutospacing="1" w:line="240" w:lineRule="auto"/>
        <w:jc w:val="center"/>
        <w:rPr>
          <w:rFonts w:ascii="Times New Roman" w:eastAsia="Times New Roman" w:hAnsi="Times New Roman" w:cs="Times New Roman"/>
          <w:b/>
          <w:bCs/>
          <w:sz w:val="21"/>
          <w:szCs w:val="21"/>
          <w:lang w:val="id-ID" w:eastAsia="id-ID"/>
        </w:rPr>
      </w:pPr>
      <w:r>
        <w:rPr>
          <w:rFonts w:cs="Cambria"/>
          <w:b/>
          <w:bCs/>
          <w:sz w:val="22"/>
          <w:szCs w:val="21"/>
          <w:lang w:val="id-ID" w:eastAsia="id-ID"/>
        </w:rPr>
        <w:t>Figure 1. Gender-Responsive and Socially Inclusive RBI Policy Model</w:t>
      </w:r>
    </w:p>
    <w:p w14:paraId="4170D08E" w14:textId="73039B00" w:rsidR="000B46F0" w:rsidRPr="006E05AF" w:rsidRDefault="000B46F0" w:rsidP="006E05AF">
      <w:pPr>
        <w:tabs>
          <w:tab w:val="left" w:pos="567"/>
        </w:tabs>
        <w:spacing w:before="120" w:after="0" w:line="240" w:lineRule="auto"/>
        <w:ind w:firstLine="567"/>
        <w:jc w:val="both"/>
        <w:rPr>
          <w:rFonts w:cs="Cambria"/>
          <w:sz w:val="28"/>
          <w:szCs w:val="28"/>
          <w:lang w:val="id-ID"/>
        </w:rPr>
      </w:pPr>
      <w:r w:rsidRPr="006E05AF">
        <w:rPr>
          <w:rFonts w:cs="Cambria"/>
          <w:szCs w:val="28"/>
          <w:lang w:val="id-ID"/>
        </w:rPr>
        <w:lastRenderedPageBreak/>
        <w:t>Figure 1 places substantive justice as the policy objective and legality, human rights, attributed authority, and due process as non-negotiable boundaries. Gender perspective and intersectionality operate as analytical inputs, while vulnerability screening identifies concrete barriers and support needs. R</w:t>
      </w:r>
      <w:r w:rsidR="00454AE4">
        <w:rPr>
          <w:rFonts w:cs="Cambria"/>
          <w:szCs w:val="28"/>
          <w:lang w:val="id-ID"/>
        </w:rPr>
        <w:t xml:space="preserve">uang </w:t>
      </w:r>
      <w:r w:rsidRPr="006E05AF">
        <w:rPr>
          <w:rFonts w:cs="Cambria"/>
          <w:szCs w:val="28"/>
          <w:lang w:val="id-ID"/>
        </w:rPr>
        <w:t>B</w:t>
      </w:r>
      <w:r w:rsidR="00454AE4">
        <w:rPr>
          <w:rFonts w:cs="Cambria"/>
          <w:szCs w:val="28"/>
          <w:lang w:val="id-ID"/>
        </w:rPr>
        <w:t xml:space="preserve">ersama </w:t>
      </w:r>
      <w:r w:rsidRPr="006E05AF">
        <w:rPr>
          <w:rFonts w:cs="Cambria"/>
          <w:szCs w:val="28"/>
          <w:lang w:val="id-ID"/>
        </w:rPr>
        <w:t>I</w:t>
      </w:r>
      <w:r w:rsidR="00454AE4">
        <w:rPr>
          <w:rFonts w:cs="Cambria"/>
          <w:szCs w:val="28"/>
          <w:lang w:val="id-ID"/>
        </w:rPr>
        <w:t>ndonesia</w:t>
      </w:r>
      <w:r w:rsidRPr="006E05AF">
        <w:rPr>
          <w:rFonts w:cs="Cambria"/>
          <w:szCs w:val="28"/>
          <w:lang w:val="id-ID"/>
        </w:rPr>
        <w:t xml:space="preserve"> functions as a coordination hub that channels prevention and information at community level and refers protection, investigation, prosecution, adjudication, recovery, and specialized services to the competent institutions. Data governance and accountability run across the model so that coordination does not become unrestricted information sharing. The output is not additional criminalization, but more coherent access to existing legal protections and services.</w:t>
      </w:r>
    </w:p>
    <w:p w14:paraId="1FFD9F72" w14:textId="48378429" w:rsidR="000B46F0" w:rsidRPr="000B46F0" w:rsidRDefault="000B46F0" w:rsidP="000B46F0">
      <w:pPr>
        <w:tabs>
          <w:tab w:val="left" w:pos="567"/>
        </w:tabs>
        <w:spacing w:after="0" w:line="240" w:lineRule="auto"/>
        <w:ind w:firstLine="567"/>
        <w:jc w:val="both"/>
        <w:rPr>
          <w:rFonts w:cs="Cambria"/>
          <w:bCs/>
          <w:szCs w:val="24"/>
          <w:lang w:val="id-ID"/>
        </w:rPr>
      </w:pPr>
      <w:r>
        <w:rPr>
          <w:rFonts w:cs="Cambria"/>
          <w:bCs/>
          <w:szCs w:val="24"/>
          <w:lang w:val="id-ID"/>
        </w:rPr>
        <w:t>The model therefore integrates penal and non-penal policy without merging their institutional functions. Penal measures remain governed by criminal statutes and criminal procedure. Non-penal R</w:t>
      </w:r>
      <w:r w:rsidR="00454AE4">
        <w:rPr>
          <w:rFonts w:cs="Cambria"/>
          <w:bCs/>
          <w:szCs w:val="24"/>
          <w:lang w:val="id-ID"/>
        </w:rPr>
        <w:t xml:space="preserve">uang </w:t>
      </w:r>
      <w:r>
        <w:rPr>
          <w:rFonts w:cs="Cambria"/>
          <w:bCs/>
          <w:szCs w:val="24"/>
          <w:lang w:val="id-ID"/>
        </w:rPr>
        <w:t>B</w:t>
      </w:r>
      <w:r w:rsidR="00454AE4">
        <w:rPr>
          <w:rFonts w:cs="Cambria"/>
          <w:bCs/>
          <w:szCs w:val="24"/>
          <w:lang w:val="id-ID"/>
        </w:rPr>
        <w:t xml:space="preserve">ersama </w:t>
      </w:r>
      <w:r>
        <w:rPr>
          <w:rFonts w:cs="Cambria"/>
          <w:bCs/>
          <w:szCs w:val="24"/>
          <w:lang w:val="id-ID"/>
        </w:rPr>
        <w:t>I</w:t>
      </w:r>
      <w:r w:rsidR="00454AE4">
        <w:rPr>
          <w:rFonts w:cs="Cambria"/>
          <w:bCs/>
          <w:szCs w:val="24"/>
          <w:lang w:val="id-ID"/>
        </w:rPr>
        <w:t>ndonesia</w:t>
      </w:r>
      <w:r>
        <w:rPr>
          <w:rFonts w:cs="Cambria"/>
          <w:bCs/>
          <w:szCs w:val="24"/>
          <w:lang w:val="id-ID"/>
        </w:rPr>
        <w:t xml:space="preserve"> functions address prevention, legal literacy, empowerment, risk identification, safe access, and referral. This separation enables stronger protection without violating legality, competence, or due process.</w:t>
      </w:r>
    </w:p>
    <w:p w14:paraId="5FDA934E" w14:textId="6F334962" w:rsidR="000B46F0" w:rsidRPr="000B46F0" w:rsidRDefault="000B46F0" w:rsidP="000B46F0">
      <w:pPr>
        <w:tabs>
          <w:tab w:val="left" w:pos="567"/>
        </w:tabs>
        <w:spacing w:after="0" w:line="240" w:lineRule="auto"/>
        <w:ind w:firstLine="567"/>
        <w:jc w:val="both"/>
        <w:rPr>
          <w:rFonts w:cs="Cambria"/>
          <w:bCs/>
          <w:szCs w:val="24"/>
          <w:lang w:val="id-ID"/>
        </w:rPr>
      </w:pPr>
      <w:r>
        <w:rPr>
          <w:rFonts w:cs="Cambria"/>
          <w:bCs/>
          <w:szCs w:val="24"/>
          <w:lang w:val="id-ID"/>
        </w:rPr>
        <w:t xml:space="preserve">Implementation can occur at different legal levels. Community referral SOPs and data-sharing protocols may operationalize existing authority; ministerial or inter-agency regulations may standardize vulnerability screening, referral, data governance, and monitoring; and statutory amendment should be reserved for rights or powers that cannot lawfully be created through subordinate rules. </w:t>
      </w:r>
    </w:p>
    <w:p w14:paraId="5F520EB2" w14:textId="25846D77" w:rsidR="000B46F0" w:rsidRDefault="000B46F0" w:rsidP="000B46F0">
      <w:pPr>
        <w:tabs>
          <w:tab w:val="left" w:pos="567"/>
        </w:tabs>
        <w:spacing w:after="0" w:line="240" w:lineRule="auto"/>
        <w:ind w:firstLine="567"/>
        <w:jc w:val="both"/>
        <w:rPr>
          <w:rFonts w:cs="Cambria"/>
          <w:bCs/>
          <w:szCs w:val="24"/>
          <w:lang w:val="id-ID"/>
        </w:rPr>
      </w:pPr>
      <w:r>
        <w:rPr>
          <w:rFonts w:cs="Cambria"/>
          <w:bCs/>
          <w:szCs w:val="24"/>
          <w:lang w:val="id-ID"/>
        </w:rPr>
        <w:t>This normative study does not test R</w:t>
      </w:r>
      <w:r w:rsidR="00454AE4">
        <w:rPr>
          <w:rFonts w:cs="Cambria"/>
          <w:bCs/>
          <w:szCs w:val="24"/>
          <w:lang w:val="id-ID"/>
        </w:rPr>
        <w:t xml:space="preserve">uang </w:t>
      </w:r>
      <w:r>
        <w:rPr>
          <w:rFonts w:cs="Cambria"/>
          <w:bCs/>
          <w:szCs w:val="24"/>
          <w:lang w:val="id-ID"/>
        </w:rPr>
        <w:t>B</w:t>
      </w:r>
      <w:r w:rsidR="00454AE4">
        <w:rPr>
          <w:rFonts w:cs="Cambria"/>
          <w:bCs/>
          <w:szCs w:val="24"/>
          <w:lang w:val="id-ID"/>
        </w:rPr>
        <w:t xml:space="preserve">ersama </w:t>
      </w:r>
      <w:r>
        <w:rPr>
          <w:rFonts w:cs="Cambria"/>
          <w:bCs/>
          <w:szCs w:val="24"/>
          <w:lang w:val="id-ID"/>
        </w:rPr>
        <w:t>I</w:t>
      </w:r>
      <w:r w:rsidR="00454AE4">
        <w:rPr>
          <w:rFonts w:cs="Cambria"/>
          <w:bCs/>
          <w:szCs w:val="24"/>
          <w:lang w:val="id-ID"/>
        </w:rPr>
        <w:t>ndonesia</w:t>
      </w:r>
      <w:r>
        <w:rPr>
          <w:rFonts w:cs="Cambria"/>
          <w:bCs/>
          <w:szCs w:val="24"/>
          <w:lang w:val="id-ID"/>
        </w:rPr>
        <w:t xml:space="preserve"> implementation, law-enforcement practice, or service performance empirically. Its generalizations are limited to the legal design of protection for women and vulnerable groups and to the institutional relationships examined in the cited materials. Future empirical research should assess how frontline screening, referrals, accommodation, data governance, and victim recovery operate across different regions and R</w:t>
      </w:r>
      <w:r w:rsidR="00454AE4">
        <w:rPr>
          <w:rFonts w:cs="Cambria"/>
          <w:bCs/>
          <w:szCs w:val="24"/>
          <w:lang w:val="id-ID"/>
        </w:rPr>
        <w:t xml:space="preserve">uang </w:t>
      </w:r>
      <w:r>
        <w:rPr>
          <w:rFonts w:cs="Cambria"/>
          <w:bCs/>
          <w:szCs w:val="24"/>
          <w:lang w:val="id-ID"/>
        </w:rPr>
        <w:t>B</w:t>
      </w:r>
      <w:r w:rsidR="00454AE4">
        <w:rPr>
          <w:rFonts w:cs="Cambria"/>
          <w:bCs/>
          <w:szCs w:val="24"/>
          <w:lang w:val="id-ID"/>
        </w:rPr>
        <w:t xml:space="preserve">ersama </w:t>
      </w:r>
      <w:r>
        <w:rPr>
          <w:rFonts w:cs="Cambria"/>
          <w:bCs/>
          <w:szCs w:val="24"/>
          <w:lang w:val="id-ID"/>
        </w:rPr>
        <w:t>I</w:t>
      </w:r>
      <w:r w:rsidR="00454AE4">
        <w:rPr>
          <w:rFonts w:cs="Cambria"/>
          <w:bCs/>
          <w:szCs w:val="24"/>
          <w:lang w:val="id-ID"/>
        </w:rPr>
        <w:t>ndonesia</w:t>
      </w:r>
      <w:r>
        <w:rPr>
          <w:rFonts w:cs="Cambria"/>
          <w:bCs/>
          <w:szCs w:val="24"/>
          <w:lang w:val="id-ID"/>
        </w:rPr>
        <w:t xml:space="preserve"> locations.</w:t>
      </w:r>
    </w:p>
    <w:p w14:paraId="1F670D73" w14:textId="77777777" w:rsidR="00454AE4" w:rsidRPr="00F5529E" w:rsidRDefault="00454AE4" w:rsidP="00454AE4">
      <w:pPr>
        <w:tabs>
          <w:tab w:val="left" w:pos="567"/>
        </w:tabs>
        <w:spacing w:after="0" w:line="240" w:lineRule="auto"/>
        <w:jc w:val="both"/>
        <w:rPr>
          <w:rFonts w:cs="Cambria"/>
          <w:bCs/>
          <w:szCs w:val="24"/>
          <w:lang w:val="id-ID"/>
        </w:rPr>
      </w:pPr>
    </w:p>
    <w:p w14:paraId="6A0AAA10" w14:textId="77777777" w:rsidR="00DC0D24" w:rsidRDefault="00DC0D24" w:rsidP="00DC0D24">
      <w:pPr>
        <w:tabs>
          <w:tab w:val="left" w:pos="567"/>
        </w:tabs>
        <w:spacing w:before="120" w:after="0" w:line="240" w:lineRule="auto"/>
        <w:rPr>
          <w:rFonts w:cs="Cambria"/>
          <w:b/>
          <w:szCs w:val="24"/>
        </w:rPr>
      </w:pPr>
      <w:r>
        <w:rPr>
          <w:rFonts w:cs="Cambria"/>
          <w:b/>
          <w:szCs w:val="24"/>
        </w:rPr>
        <w:t>CONCLUSION</w:t>
      </w:r>
    </w:p>
    <w:p w14:paraId="73DDF0FC" w14:textId="60BA5B12" w:rsidR="004C3445" w:rsidRPr="000B46F0" w:rsidRDefault="004C3445" w:rsidP="000B46F0">
      <w:pPr>
        <w:spacing w:after="0" w:line="240" w:lineRule="auto"/>
        <w:ind w:firstLine="567"/>
        <w:jc w:val="both"/>
        <w:rPr>
          <w:rFonts w:cs="Cambria"/>
          <w:lang w:val="id-ID"/>
        </w:rPr>
      </w:pPr>
      <w:r w:rsidRPr="004C3445">
        <w:rPr>
          <w:rFonts w:cs="Cambria"/>
        </w:rPr>
        <w:t xml:space="preserve">The normative analysis demonstrates that the construction of Indonesian criminal law policy has developed toward a more victim-oriented approach through the strengthening of the principles of non-discrimination, recognition of power relations, accessibility, reasonable accommodation for persons with disabilities, restitution, compensation, and recovery. This development is reflected in various legal instruments, including the Criminal Code, the Criminal Procedure Code, the Law on Sexual Violence Crimes, the Child Protection Law, the Law on Persons with Disabilities, the Witness and Victim Protection Law, as well as other implementing regulations. However, the analysis shows that the main challenge does not lie in the absence of protective norms, but rather in the fragmentation of regulations distributed across various legal instruments with different characteristics and institutional authorities. Therefore, harmonization of understanding and coordination among legal instruments are required to ensure that the protection of women and vulnerable groups can operate more systematically while maintaining the principles of legality, institutional competence, and </w:t>
      </w:r>
      <w:r w:rsidRPr="004C3445">
        <w:rPr>
          <w:rFonts w:cs="Cambria"/>
          <w:i/>
          <w:iCs/>
        </w:rPr>
        <w:t>due process of law</w:t>
      </w:r>
      <w:r w:rsidRPr="004C3445">
        <w:rPr>
          <w:rFonts w:cs="Cambria"/>
        </w:rPr>
        <w:t>.</w:t>
      </w:r>
    </w:p>
    <w:p w14:paraId="11EEC6D3" w14:textId="30EF4CE8" w:rsidR="00F5529E" w:rsidRPr="006E05AF" w:rsidRDefault="000B46F0" w:rsidP="006E05AF">
      <w:pPr>
        <w:spacing w:after="0" w:line="240" w:lineRule="auto"/>
        <w:ind w:firstLine="567"/>
        <w:jc w:val="both"/>
        <w:rPr>
          <w:rFonts w:cs="Cambria"/>
          <w:lang w:val="id-ID"/>
        </w:rPr>
      </w:pPr>
      <w:r>
        <w:rPr>
          <w:rFonts w:cs="Cambria"/>
          <w:lang w:val="id-ID"/>
        </w:rPr>
        <w:t>The R</w:t>
      </w:r>
      <w:r w:rsidR="004C3445">
        <w:rPr>
          <w:rFonts w:cs="Cambria"/>
          <w:lang w:val="id-ID"/>
        </w:rPr>
        <w:t xml:space="preserve">uang </w:t>
      </w:r>
      <w:r>
        <w:rPr>
          <w:rFonts w:cs="Cambria"/>
          <w:lang w:val="id-ID"/>
        </w:rPr>
        <w:t>B</w:t>
      </w:r>
      <w:r w:rsidR="004C3445">
        <w:rPr>
          <w:rFonts w:cs="Cambria"/>
          <w:lang w:val="id-ID"/>
        </w:rPr>
        <w:t xml:space="preserve">ersama </w:t>
      </w:r>
      <w:r>
        <w:rPr>
          <w:rFonts w:cs="Cambria"/>
          <w:lang w:val="id-ID"/>
        </w:rPr>
        <w:t>I</w:t>
      </w:r>
      <w:r w:rsidR="004C3445">
        <w:rPr>
          <w:rFonts w:cs="Cambria"/>
          <w:lang w:val="id-ID"/>
        </w:rPr>
        <w:t>ndonesia</w:t>
      </w:r>
      <w:r>
        <w:rPr>
          <w:rFonts w:cs="Cambria"/>
          <w:lang w:val="id-ID"/>
        </w:rPr>
        <w:t xml:space="preserve"> model proposed in this article has the normative status of a policy recommendation, coordination design, and evaluation </w:t>
      </w:r>
      <w:r>
        <w:rPr>
          <w:rFonts w:cs="Cambria"/>
          <w:lang w:val="id-ID"/>
        </w:rPr>
        <w:lastRenderedPageBreak/>
        <w:t>framework—not a new criminal-law regime. It may support prevention, information, initial screening, accompaniment, and referral, but formal investigative, prosecutorial, adjudicative, victim-protection, and professional-service powers remain with legally authorized institutions. Adoption should proceed through SOPs and inter-agency protocols for operational matters, ministerial or joint regulations where uniform standards and data governance are required, and statutory amendment only where new legal rights or public powers are necessary. The study is normative and does not empirically test R</w:t>
      </w:r>
      <w:r w:rsidR="00EC5BDE">
        <w:rPr>
          <w:rFonts w:cs="Cambria"/>
          <w:lang w:val="id-ID"/>
        </w:rPr>
        <w:t xml:space="preserve">uang </w:t>
      </w:r>
      <w:r>
        <w:rPr>
          <w:rFonts w:cs="Cambria"/>
          <w:lang w:val="id-ID"/>
        </w:rPr>
        <w:t>B</w:t>
      </w:r>
      <w:r w:rsidR="00EC5BDE">
        <w:rPr>
          <w:rFonts w:cs="Cambria"/>
          <w:lang w:val="id-ID"/>
        </w:rPr>
        <w:t xml:space="preserve">ersama </w:t>
      </w:r>
      <w:r>
        <w:rPr>
          <w:rFonts w:cs="Cambria"/>
          <w:lang w:val="id-ID"/>
        </w:rPr>
        <w:t>I</w:t>
      </w:r>
      <w:r w:rsidR="00EC5BDE">
        <w:rPr>
          <w:rFonts w:cs="Cambria"/>
          <w:lang w:val="id-ID"/>
        </w:rPr>
        <w:t>ndonesia</w:t>
      </w:r>
      <w:r>
        <w:rPr>
          <w:rFonts w:cs="Cambria"/>
          <w:lang w:val="id-ID"/>
        </w:rPr>
        <w:t xml:space="preserve"> performance; future research should evaluate the proposed indicators across regions and community settings.</w:t>
      </w:r>
    </w:p>
    <w:p w14:paraId="104E40CE" w14:textId="77777777" w:rsidR="00DC0D24" w:rsidRDefault="00DC0D24" w:rsidP="00310556">
      <w:pPr>
        <w:tabs>
          <w:tab w:val="left" w:pos="567"/>
        </w:tabs>
        <w:spacing w:before="120" w:after="0" w:line="240" w:lineRule="auto"/>
        <w:rPr>
          <w:rFonts w:cs="Cambria"/>
          <w:b/>
          <w:szCs w:val="24"/>
        </w:rPr>
      </w:pPr>
      <w:r>
        <w:rPr>
          <w:rFonts w:cs="Cambria"/>
          <w:b/>
          <w:szCs w:val="24"/>
        </w:rPr>
        <w:t>REFERENCES</w:t>
      </w:r>
    </w:p>
    <w:p w14:paraId="2518E280" w14:textId="77777777" w:rsidR="00B53016" w:rsidRPr="00B53016" w:rsidRDefault="005058F1" w:rsidP="006E05AF">
      <w:pPr>
        <w:autoSpaceDE w:val="0"/>
        <w:autoSpaceDN w:val="0"/>
        <w:adjustRightInd w:val="0"/>
        <w:spacing w:before="120" w:after="0" w:line="240" w:lineRule="auto"/>
        <w:ind w:left="567" w:hanging="567"/>
        <w:jc w:val="both"/>
        <w:rPr>
          <w:rFonts w:cs="Times New Roman"/>
          <w:noProof/>
        </w:rPr>
      </w:pPr>
      <w:r>
        <w:rPr>
          <w:rFonts w:cs="Cambria"/>
        </w:rPr>
        <w:t>Agustanti, Rosalia Dika, and Bambang Waluyo. “Konsep Sistem Peradilan Pidana Khusus Perempuan Korban Kekerasan.” Masalah-Masalah Hukum 52, no. 1 (2023): 42–51. https://doi.org/10.14710/mmh.52.1.2023.42-51.</w:t>
      </w:r>
    </w:p>
    <w:p w14:paraId="46B5FCCD"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Arief, Barda Nawawi. </w:t>
      </w:r>
      <w:r w:rsidRPr="00B53016">
        <w:rPr>
          <w:rFonts w:cs="Cambria"/>
          <w:iCs/>
          <w:noProof/>
        </w:rPr>
        <w:t>Bunga Rampai Kebijakan Hukum Pidana</w:t>
      </w:r>
      <w:r w:rsidRPr="00B53016">
        <w:rPr>
          <w:rFonts w:cs="Cambria"/>
          <w:noProof/>
        </w:rPr>
        <w:t>. Prenada Media, 2016.</w:t>
      </w:r>
    </w:p>
    <w:p w14:paraId="4EB01612"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Attamimi, Fahim, and Tanudjaja Tanudjaja. “Pemenuhan Hak Restitusi Bagi Anak Korban Kekerasan Seksual.” </w:t>
      </w:r>
      <w:r w:rsidRPr="00B53016">
        <w:rPr>
          <w:rFonts w:cs="Cambria"/>
          <w:iCs/>
          <w:noProof/>
        </w:rPr>
        <w:t>UNES Law Review</w:t>
      </w:r>
      <w:r w:rsidRPr="00B53016">
        <w:rPr>
          <w:rFonts w:cs="Cambria"/>
          <w:noProof/>
        </w:rPr>
        <w:t xml:space="preserve"> 6, no. 4 (2024): 12134–41.</w:t>
      </w:r>
    </w:p>
    <w:p w14:paraId="544B82F6"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Pr>
          <w:rFonts w:cs="Cambria"/>
          <w:noProof/>
        </w:rPr>
        <w:t>Baizah, Zahrul. “Perempuan Berhadapan Dengan Hukum.” Takammul: Jurnal Studi Gender dan Islam serta Perlindungan Anak 11, no. 2 (2022): 74–82. https://doi.org/10.22373/takamul.v11i2.18558.</w:t>
      </w:r>
    </w:p>
    <w:p w14:paraId="6FEBE9B6"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Chen, Chao-ju. “Catharine A. MacKinnon and Equality Theory.” In </w:t>
      </w:r>
      <w:r w:rsidRPr="00B53016">
        <w:rPr>
          <w:rFonts w:cs="Cambria"/>
          <w:iCs/>
          <w:noProof/>
        </w:rPr>
        <w:t>Research Handbook on Feminist Jurisprudence</w:t>
      </w:r>
      <w:r w:rsidRPr="00B53016">
        <w:rPr>
          <w:rFonts w:cs="Cambria"/>
          <w:noProof/>
        </w:rPr>
        <w:t>, 44–64. Edward Elgar Publishing, 2019.</w:t>
      </w:r>
    </w:p>
    <w:p w14:paraId="4871DCDC"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Crenshaw, Kimberlé. “Demarginalizing the Intersection of Race and Sex: A Black Feminist Critique of Antidiscrimination Doctrine, Feminist Theory and Antiracist Politics [1989].” </w:t>
      </w:r>
      <w:r w:rsidRPr="00B53016">
        <w:rPr>
          <w:rFonts w:cs="Cambria"/>
          <w:iCs/>
          <w:noProof/>
        </w:rPr>
        <w:t>Contemporary Sociological Theory</w:t>
      </w:r>
      <w:r w:rsidRPr="00B53016">
        <w:rPr>
          <w:rFonts w:cs="Cambria"/>
          <w:noProof/>
        </w:rPr>
        <w:t xml:space="preserve"> 1, no. 354 (2022): 0.</w:t>
      </w:r>
    </w:p>
    <w:p w14:paraId="5332B392"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Pr>
          <w:rFonts w:cs="Cambria"/>
          <w:noProof/>
        </w:rPr>
        <w:t>Englehart, Neil A., and Melissa K. Miller. “The CEDAW Effect: International Law’s Impact on Women’s Rights.” Journal of Human Rights 13, no. 1 (2014): 22–47. https://doi.org/10.1080/14754835.2013.824274.</w:t>
      </w:r>
    </w:p>
    <w:p w14:paraId="5B1FC519"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Pr>
          <w:rFonts w:cs="Cambria"/>
          <w:noProof/>
        </w:rPr>
        <w:t>Muzayin, Andi Faizal, Catur Alam Pinandang, and Diandra Kis Arumpuspita Rois. “Pemenuhan Hak Korban Tindak Pidana Kekerasan Seksual Dikaitkan Dengan UU TPKS.” Ranah Research: Journal of Multidisciplinary Research and Development 6, no. 6 (2024): 2957–63. https://doi.org/10.38035/rrj.v6i6.1211.</w:t>
      </w:r>
    </w:p>
    <w:p w14:paraId="6CD940D9"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Perempuan, Komnas. “CATAHU 2025: Menguatkan Data, Mengatasi Kerentanan, Mendesak Negara Bersikap Untuk Keadilan Korban,” 2026. https://komnasperempuan.go.id/catatan-tahunan-detail/catahu-2025-menguatkan-data-mengatasi-kerentanan-mendesak-negara-bersikap-untuk-keadilan-korban.</w:t>
      </w:r>
    </w:p>
    <w:p w14:paraId="6599ACD5"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Perkasa, Revo, J Jopie Gilalo, and Hidayat Rumatiga. “Penyelesaian Tindak Pidana KDRT Terhadap Perempuan Berdasarkan Keadilan Restoratif.” </w:t>
      </w:r>
      <w:r w:rsidRPr="00B53016">
        <w:rPr>
          <w:rFonts w:cs="Cambria"/>
          <w:iCs/>
          <w:noProof/>
        </w:rPr>
        <w:t>Karimah Tauhid</w:t>
      </w:r>
      <w:r w:rsidRPr="00B53016">
        <w:rPr>
          <w:rFonts w:cs="Cambria"/>
          <w:noProof/>
        </w:rPr>
        <w:t xml:space="preserve"> 3, no. 6 (2024): 6608–18.</w:t>
      </w:r>
    </w:p>
    <w:p w14:paraId="538845B6"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lastRenderedPageBreak/>
        <w:t xml:space="preserve">Peter Mahmud Marzuki. </w:t>
      </w:r>
      <w:r w:rsidRPr="00B53016">
        <w:rPr>
          <w:rFonts w:cs="Cambria"/>
          <w:iCs/>
          <w:noProof/>
        </w:rPr>
        <w:t>Penelitian Hukum</w:t>
      </w:r>
      <w:r w:rsidRPr="00B53016">
        <w:rPr>
          <w:rFonts w:cs="Cambria"/>
          <w:noProof/>
        </w:rPr>
        <w:t>. Edisi Revi. Jakarta: Kencana Prenadamedia Grup, 2017.</w:t>
      </w:r>
    </w:p>
    <w:p w14:paraId="2DE74B42"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Pr>
          <w:rFonts w:cs="Cambria"/>
          <w:noProof/>
        </w:rPr>
        <w:t>Purnomosidi, Arie. “Konsep Perlindungan Hak Konstitusional Penyandang Disabilitas Di Indonesia.” Refleksi Hukum: Jurnal Ilmu Hukum 1, no. 2 (2017): 161–74. https://doi.org/10.24246/jrh.2017.v1.i2.p161-174.</w:t>
      </w:r>
    </w:p>
    <w:p w14:paraId="1D3EEB49"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Pr>
          <w:rFonts w:cs="Cambria"/>
          <w:noProof/>
        </w:rPr>
        <w:t>Risdianto, Danang. “Perlindungan Terhadap Kelompok Minoritas Di Indonesia Dalam Mewujudkan Keadilan Dan Persamaan Di Hadapan Hukum.” Jurnal Rechts Vinding: Media Pembinaan Hukum Nasional 6, no. 1 (2017): 125–42. https://doi.org/10.33331/rechtsvinding.v6i1.120.</w:t>
      </w:r>
    </w:p>
    <w:p w14:paraId="11D50DDD"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Rofina Thenu, Hana Mifta, and Leni Widi Mulyani. “Pemenuhan Hak Korban Penyandang Disabilitas Dalam Sistem Peradilan Pidana Indonesia.” </w:t>
      </w:r>
      <w:r w:rsidRPr="00B53016">
        <w:rPr>
          <w:rFonts w:cs="Cambria"/>
          <w:iCs/>
          <w:noProof/>
        </w:rPr>
        <w:t>Jurnal Ilmu Hukum, Humaniora Dan Politik (JIHHP)</w:t>
      </w:r>
      <w:r w:rsidRPr="00B53016">
        <w:rPr>
          <w:rFonts w:cs="Cambria"/>
          <w:noProof/>
        </w:rPr>
        <w:t xml:space="preserve"> 4, no. 6 (2024).</w:t>
      </w:r>
    </w:p>
    <w:p w14:paraId="35818F8F"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Pr>
          <w:rFonts w:cs="Cambria"/>
          <w:noProof/>
        </w:rPr>
        <w:t>Satino, Satino, Rosalia Dika Agustanti, Taupiqqurrahman, Ali Imran Nasution, and Rianda Dirkareshza. “Sosialisasi Dan Pendampingan Dalam Upaya Pemenuhan Hak-Hak Anak Korban Kekerasan Dan Diskriminasi.” Jurnal Altifani Penelitian dan Pengabdian kepada Masyarakat 3, no. 1 (2023): 78–87. https://doi.org/10.25008/altifani.v3i1.346.</w:t>
      </w:r>
    </w:p>
    <w:p w14:paraId="466D243C"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Senjaya, Oci, Indra Yudha Koswara, and Margo Hadi Pura. “Kendala Dan Tantangan Perlindungan Kelompok Rentan Dalam Proses Peradilan Pidana Indonesia: Perspektif Hak Asasi Manusia.” </w:t>
      </w:r>
      <w:r w:rsidRPr="00B53016">
        <w:rPr>
          <w:rFonts w:cs="Cambria"/>
          <w:iCs/>
          <w:noProof/>
        </w:rPr>
        <w:t>Proceedings Series on Social Sciences &amp; Humanities</w:t>
      </w:r>
      <w:r w:rsidRPr="00B53016">
        <w:rPr>
          <w:rFonts w:cs="Cambria"/>
          <w:noProof/>
        </w:rPr>
        <w:t xml:space="preserve"> 27 (2025): 1–16.</w:t>
      </w:r>
    </w:p>
    <w:p w14:paraId="6413EFFB"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Siking, Muhamad Zubair, Suwitno Y Imran, and Nuvazria Achir. “Hambatan Kepolisian Dalam Upaya Perlindungan Tindak Pidana Kekerasan Dalam Rumah Tangga.” </w:t>
      </w:r>
      <w:r w:rsidRPr="00B53016">
        <w:rPr>
          <w:rFonts w:cs="Cambria"/>
          <w:iCs/>
          <w:noProof/>
        </w:rPr>
        <w:t>Al-Zayn: Jurnal Ilmu Sosial &amp; Hukum</w:t>
      </w:r>
      <w:r w:rsidRPr="00B53016">
        <w:rPr>
          <w:rFonts w:cs="Cambria"/>
          <w:noProof/>
        </w:rPr>
        <w:t xml:space="preserve"> 3, no. 3 (2025): 1822–35.</w:t>
      </w:r>
    </w:p>
    <w:p w14:paraId="6BEA5662"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Syafiqoti, Enggal Aflah, and Teti Hadiati. “Pemenuhan Hak Aksesibilitas Penyandang Disabilitas Dalam Pelayanan Hukum.” </w:t>
      </w:r>
      <w:r w:rsidRPr="00B53016">
        <w:rPr>
          <w:rFonts w:cs="Cambria"/>
          <w:iCs/>
          <w:noProof/>
        </w:rPr>
        <w:t>Manabia: Journal of Constitutional Law</w:t>
      </w:r>
      <w:r w:rsidRPr="00B53016">
        <w:rPr>
          <w:rFonts w:cs="Cambria"/>
          <w:noProof/>
        </w:rPr>
        <w:t xml:space="preserve"> 3, no. 02 (2023): 257–68.</w:t>
      </w:r>
    </w:p>
    <w:p w14:paraId="1800E484"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Triana, Ikama Dewi Setia, Muhammad Yusril Irza, and Arif Awaludin. “Reformasi KUHAP Dalam Membangun Sistem Peradilan Pidana Yang Berkeadilan Dan Perlindungan Hak Asasi Manusia.” </w:t>
      </w:r>
      <w:r w:rsidRPr="00B53016">
        <w:rPr>
          <w:rFonts w:cs="Cambria"/>
          <w:iCs/>
          <w:noProof/>
        </w:rPr>
        <w:t>Al-Zayn: Jurnal Ilmu Sosial &amp; Hukum</w:t>
      </w:r>
      <w:r w:rsidRPr="00B53016">
        <w:rPr>
          <w:rFonts w:cs="Cambria"/>
          <w:noProof/>
        </w:rPr>
        <w:t xml:space="preserve"> 3, no. 6 (2025): 8293–8304.</w:t>
      </w:r>
    </w:p>
    <w:p w14:paraId="754B599E" w14:textId="77777777" w:rsidR="00B53016" w:rsidRPr="00B53016" w:rsidRDefault="00B53016" w:rsidP="006E05AF">
      <w:pPr>
        <w:autoSpaceDE w:val="0"/>
        <w:autoSpaceDN w:val="0"/>
        <w:adjustRightInd w:val="0"/>
        <w:spacing w:before="120" w:after="0" w:line="240" w:lineRule="auto"/>
        <w:ind w:left="567" w:hanging="567"/>
        <w:jc w:val="both"/>
        <w:rPr>
          <w:rFonts w:cs="Times New Roman"/>
          <w:noProof/>
        </w:rPr>
      </w:pPr>
      <w:r w:rsidRPr="00B53016">
        <w:rPr>
          <w:rFonts w:cs="Cambria"/>
          <w:noProof/>
        </w:rPr>
        <w:t xml:space="preserve">Waliden, Ibnu Alwaton Surya, Selvia Fitri Maulida, and Mochammad Agus Rachmatulloh. “Tinjauan Asas Equalty Before the Law Terhadap Penegakan Hukum Di Indonesia.” </w:t>
      </w:r>
      <w:r w:rsidRPr="00B53016">
        <w:rPr>
          <w:rFonts w:cs="Cambria"/>
          <w:iCs/>
          <w:noProof/>
        </w:rPr>
        <w:t>Verfassung: Jurnal Hukum Tata Negara</w:t>
      </w:r>
      <w:r w:rsidRPr="00B53016">
        <w:rPr>
          <w:rFonts w:cs="Cambria"/>
          <w:noProof/>
        </w:rPr>
        <w:t xml:space="preserve"> 1, no. 2 (2022): 123–42.</w:t>
      </w:r>
    </w:p>
    <w:p w14:paraId="0684A779" w14:textId="1FAF8283" w:rsidR="00AF51E0" w:rsidRPr="006E05AF" w:rsidRDefault="00B53016" w:rsidP="006E05AF">
      <w:pPr>
        <w:autoSpaceDE w:val="0"/>
        <w:autoSpaceDN w:val="0"/>
        <w:adjustRightInd w:val="0"/>
        <w:spacing w:before="120" w:after="0" w:line="240" w:lineRule="auto"/>
        <w:ind w:left="567" w:hanging="567"/>
        <w:jc w:val="both"/>
        <w:rPr>
          <w:noProof/>
        </w:rPr>
      </w:pPr>
      <w:r w:rsidRPr="00B53016">
        <w:rPr>
          <w:rFonts w:cs="Cambria"/>
          <w:noProof/>
        </w:rPr>
        <w:t>Women, U N. “Convention on the Elimination of All Forms of Discrimination against Women.” Office of the United Nations High Commissioner for Human Rights, 1979.</w:t>
      </w:r>
    </w:p>
    <w:p w14:paraId="2A197186" w14:textId="77777777" w:rsidR="00AF51E0" w:rsidRPr="005C2765" w:rsidRDefault="00AF51E0" w:rsidP="006E05AF">
      <w:pPr>
        <w:pStyle w:val="DaftarParagraf"/>
        <w:spacing w:before="120" w:after="0" w:line="240" w:lineRule="auto"/>
        <w:ind w:left="567" w:hanging="567"/>
        <w:jc w:val="both"/>
        <w:rPr>
          <w:rFonts w:cs="Times New Roman"/>
          <w:szCs w:val="24"/>
        </w:rPr>
      </w:pPr>
      <w:r>
        <w:rPr>
          <w:rFonts w:cs="Cambria"/>
        </w:rPr>
        <w:t>Ministry of Women’s Empowerment and Child Protection of the Republic of Indonesia. Ministerial Decree Number 112 of 2025 concerning the Ruang Bersama Indonesia Organizing Team. 2025.</w:t>
      </w:r>
    </w:p>
    <w:sectPr w:rsidR="00AF51E0" w:rsidRPr="005C2765" w:rsidSect="00DC0D24">
      <w:headerReference w:type="default" r:id="rId11"/>
      <w:footerReference w:type="default" r:id="rId12"/>
      <w:headerReference w:type="first" r:id="rId13"/>
      <w:footerReference w:type="first" r:id="rId14"/>
      <w:pgSz w:w="11906" w:h="16838" w:code="9"/>
      <w:pgMar w:top="1701" w:right="1701" w:bottom="1701" w:left="1701" w:header="283" w:footer="720" w:gutter="0"/>
      <w:pgNumType w:start="114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3EBC47" w14:textId="77777777" w:rsidR="00F748BC" w:rsidRDefault="00F748BC" w:rsidP="00F67647">
      <w:pPr>
        <w:spacing w:after="0" w:line="240" w:lineRule="auto"/>
      </w:pPr>
      <w:r>
        <w:separator/>
      </w:r>
    </w:p>
  </w:endnote>
  <w:endnote w:type="continuationSeparator" w:id="0">
    <w:p w14:paraId="76223B6A" w14:textId="77777777" w:rsidR="00F748BC" w:rsidRDefault="00F748BC" w:rsidP="00F6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iCs/>
        <w:szCs w:val="24"/>
      </w:rPr>
      <w:id w:val="-1076354095"/>
      <w:docPartObj>
        <w:docPartGallery w:val="Page Numbers (Bottom of Page)"/>
        <w:docPartUnique/>
      </w:docPartObj>
    </w:sdtPr>
    <w:sdtEndPr>
      <w:rPr>
        <w:noProof/>
      </w:rPr>
    </w:sdtEndPr>
    <w:sdtContent>
      <w:p w14:paraId="2E35E650" w14:textId="77777777" w:rsidR="00745495" w:rsidRPr="00745495" w:rsidRDefault="00000000" w:rsidP="00745495">
        <w:pPr>
          <w:pStyle w:val="Footer"/>
          <w:jc w:val="right"/>
          <w:rPr>
            <w:i/>
            <w:iCs/>
            <w:szCs w:val="24"/>
          </w:rPr>
        </w:pPr>
        <w:r w:rsidRPr="00745495">
          <w:rPr>
            <w:noProof/>
            <w:lang w:val="en-AU" w:eastAsia="en-AU"/>
          </w:rPr>
          <w:drawing>
            <wp:anchor distT="0" distB="0" distL="114300" distR="114300" simplePos="0" relativeHeight="251665408" behindDoc="1" locked="0" layoutInCell="1" allowOverlap="1" wp14:anchorId="6E8CB167" wp14:editId="267EA219">
              <wp:simplePos x="0" y="0"/>
              <wp:positionH relativeFrom="margin">
                <wp:posOffset>1452880</wp:posOffset>
              </wp:positionH>
              <wp:positionV relativeFrom="paragraph">
                <wp:posOffset>-10160</wp:posOffset>
              </wp:positionV>
              <wp:extent cx="318977" cy="211251"/>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1" t="18919" r="-7246" b="14865"/>
                      <a:stretch/>
                    </pic:blipFill>
                    <pic:spPr bwMode="auto">
                      <a:xfrm>
                        <a:off x="0" y="0"/>
                        <a:ext cx="318977" cy="2112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5495" w:rsidRPr="00745495">
          <w:rPr>
            <w:noProof/>
          </w:rPr>
          <mc:AlternateContent>
            <mc:Choice Requires="wps">
              <w:drawing>
                <wp:anchor distT="0" distB="0" distL="114300" distR="114300" simplePos="0" relativeHeight="251666432" behindDoc="0" locked="0" layoutInCell="1" allowOverlap="1" wp14:anchorId="631D5F4A" wp14:editId="78DD7B49">
                  <wp:simplePos x="0" y="0"/>
                  <wp:positionH relativeFrom="column">
                    <wp:posOffset>458</wp:posOffset>
                  </wp:positionH>
                  <wp:positionV relativeFrom="paragraph">
                    <wp:posOffset>-48466</wp:posOffset>
                  </wp:positionV>
                  <wp:extent cx="5457825" cy="0"/>
                  <wp:effectExtent l="9525" t="5715" r="9525" b="13335"/>
                  <wp:wrapNone/>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78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B4DEC6" id="_x0000_t32" coordsize="21600,21600" o:spt="32" o:oned="t" path="m,l21600,21600e" filled="f">
                  <v:path arrowok="t" fillok="f" o:connecttype="none"/>
                  <o:lock v:ext="edit" shapetype="t"/>
                </v:shapetype>
                <v:shape id="AutoShape 1" o:spid="_x0000_s1026" type="#_x0000_t32" style="position:absolute;margin-left:.05pt;margin-top:-3.8pt;width:429.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"/>
              </w:pict>
            </mc:Fallback>
          </mc:AlternateContent>
        </w:r>
        <w:r w:rsidR="00745495" w:rsidRPr="00745495">
          <w:rPr>
            <w:i/>
            <w:iCs/>
            <w:szCs w:val="24"/>
          </w:rPr>
          <w:t xml:space="preserve">Adagium: Jurnal Ilmiah Hukum Vol 4. No.2 (2026)    </w:t>
        </w:r>
        <w:r w:rsidR="00745495" w:rsidRPr="00745495">
          <w:rPr>
            <w:i/>
            <w:iCs/>
            <w:szCs w:val="24"/>
          </w:rPr>
          <w:fldChar w:fldCharType="begin"/>
        </w:r>
        <w:r w:rsidR="00745495" w:rsidRPr="00745495">
          <w:rPr>
            <w:i/>
            <w:iCs/>
            <w:szCs w:val="24"/>
          </w:rPr>
          <w:instrText xml:space="preserve"> PAGE   \* MERGEFORMAT </w:instrText>
        </w:r>
        <w:r w:rsidR="00745495" w:rsidRPr="00745495">
          <w:rPr>
            <w:i/>
            <w:iCs/>
            <w:szCs w:val="24"/>
          </w:rPr>
          <w:fldChar w:fldCharType="separate"/>
        </w:r>
        <w:r w:rsidR="00745495" w:rsidRPr="00745495">
          <w:rPr>
            <w:i/>
            <w:iCs/>
            <w:szCs w:val="24"/>
          </w:rPr>
          <w:t>1144</w:t>
        </w:r>
        <w:r w:rsidR="00745495" w:rsidRPr="00745495">
          <w:rPr>
            <w:i/>
            <w:iCs/>
            <w:noProof/>
            <w:szCs w:val="24"/>
          </w:rPr>
          <w:fldChar w:fldCharType="end"/>
        </w:r>
      </w:p>
    </w:sdtContent>
  </w:sdt>
  <w:p w14:paraId="64D152FE" w14:textId="77777777" w:rsidR="00745495" w:rsidRPr="00745495" w:rsidRDefault="007454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iCs/>
      </w:rPr>
      <w:id w:val="-1416160844"/>
      <w:docPartObj>
        <w:docPartGallery w:val="Page Numbers (Bottom of Page)"/>
        <w:docPartUnique/>
      </w:docPartObj>
    </w:sdtPr>
    <w:sdtEndPr>
      <w:rPr>
        <w:noProof/>
      </w:rPr>
    </w:sdtEndPr>
    <w:sdtContent>
      <w:p w14:paraId="7CA51EC0" w14:textId="77777777" w:rsidR="00745495" w:rsidRPr="00745495" w:rsidRDefault="00745495">
        <w:pPr>
          <w:pStyle w:val="Footer"/>
          <w:jc w:val="right"/>
          <w:rPr>
            <w:i/>
            <w:iCs/>
          </w:rPr>
        </w:pPr>
        <w:r w:rsidRPr="00745495">
          <w:rPr>
            <w:i/>
            <w:iCs/>
          </w:rPr>
          <w:fldChar w:fldCharType="begin"/>
        </w:r>
        <w:r w:rsidRPr="00745495">
          <w:rPr>
            <w:i/>
            <w:iCs/>
          </w:rPr>
          <w:instrText xml:space="preserve"> PAGE   \* MERGEFORMAT </w:instrText>
        </w:r>
        <w:r w:rsidRPr="00745495">
          <w:rPr>
            <w:i/>
            <w:iCs/>
          </w:rPr>
          <w:fldChar w:fldCharType="separate"/>
        </w:r>
        <w:r w:rsidRPr="00745495">
          <w:rPr>
            <w:i/>
            <w:iCs/>
            <w:noProof/>
          </w:rPr>
          <w:t>1143</w:t>
        </w:r>
        <w:r w:rsidRPr="00745495">
          <w:rPr>
            <w:i/>
            <w:iCs/>
            <w:noProof/>
          </w:rPr>
          <w:fldChar w:fldCharType="end"/>
        </w:r>
      </w:p>
    </w:sdtContent>
  </w:sdt>
  <w:p w14:paraId="65999A44" w14:textId="77777777" w:rsidR="00745495" w:rsidRPr="00745495" w:rsidRDefault="00745495">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6324BB" w14:textId="77777777" w:rsidR="00F748BC" w:rsidRDefault="00F748BC" w:rsidP="00F67647">
      <w:pPr>
        <w:spacing w:after="0" w:line="240" w:lineRule="auto"/>
      </w:pPr>
      <w:r>
        <w:separator/>
      </w:r>
    </w:p>
  </w:footnote>
  <w:footnote w:type="continuationSeparator" w:id="0">
    <w:p w14:paraId="603BD622" w14:textId="77777777" w:rsidR="00F748BC" w:rsidRDefault="00F748BC" w:rsidP="00F67647">
      <w:pPr>
        <w:spacing w:after="0" w:line="240" w:lineRule="auto"/>
      </w:pPr>
      <w:r>
        <w:continuationSeparator/>
      </w:r>
    </w:p>
  </w:footnote>
  <w:footnote w:id="1">
    <w:p w14:paraId="7DE63EB8" w14:textId="77777777" w:rsidR="007F3729" w:rsidRPr="006E05AF" w:rsidRDefault="007F3729"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546831" w:rsidRPr="006E05AF">
        <w:rPr>
          <w:rFonts w:cs="Cambria"/>
        </w:rPr>
        <w:instrText>ADDIN CSL_CITATION {"citationItems":[{"id":"ITEM-1","itemData":{"ISSN":"2580-2364","author":[{"dropping-particle":"","family":"Risdianto","given":"Danang","non-dropping-particle":"","parse-names":false,"suffix":""}],"container-title":"Jurnal Rechts Vinding Media Pembinaan Hukum Nasional","id":"ITEM-1","issue":"1","issued":{"date-parts":[["2017"]]},"page":"125-142","title":"Perlindungan Terhadap Kelompok Minoritas Di Indonesia Dalam Mewujudkan Keadilan Dan Persamaan Di Hadapan Hukum","type":"article-journal","volume":"6"},"uris":["http://www.mendeley.com/documents/?uuid=2c614c3b-7b5f-407c-a226-a13bfb222374"]}],"mendeley":{"formattedCitation":"Danang Risdianto, “Perlindungan Terhadap Kelompok Minoritas Di Indonesia Dalam Mewujudkan Keadilan Dan Persamaan Di Hadapan Hukum,” &lt;i&gt;Jurnal Rechts Vinding Media Pembinaan Hukum Nasional&lt;/i&gt; 6, no. 1 (2017): 125–42.","plainTextFormattedCitation":"Danang Risdianto, “Perlindungan Terhadap Kelompok Minoritas Di Indonesia Dalam Mewujudkan Keadilan Dan Persamaan Di Hadapan Hukum,” Jurnal Rechts Vinding Media Pembinaan Hukum Nasional 6, no. 1 (2017): 125–42.","previouslyFormattedCitation":"Danang Risdianto, “Perlindungan Terhadap Kelompok Minoritas Di Indonesia Dalam Mewujudkan Keadilan Dan Persamaan Di Hadapan Hukum,” &lt;i&gt;Jurnal Rechts Vinding Media Pembinaan Hukum Nasional&lt;/i&gt; 6, no. 1 (2017): 125–42."},"properties":{"noteIndex":1},"schema":"https://github.com/citation-style-language/schema/raw/master/csl-citation.json"}</w:instrText>
      </w:r>
      <w:r w:rsidRPr="006E05AF">
        <w:rPr>
          <w:rFonts w:cs="Cambria"/>
        </w:rPr>
        <w:fldChar w:fldCharType="separate"/>
      </w:r>
      <w:r w:rsidRPr="006E05AF">
        <w:rPr>
          <w:rFonts w:cs="Cambria"/>
          <w:noProof/>
        </w:rPr>
        <w:t xml:space="preserve">Danang Risdianto, “Perlindungan Terhadap Kelompok Minoritas Di Indonesia Dalam Mewujudkan Keadilan Dan Persamaan Di Hadapan Hukum,” </w:t>
      </w:r>
      <w:r w:rsidRPr="006E05AF">
        <w:rPr>
          <w:rFonts w:cs="Cambria"/>
          <w:i/>
          <w:noProof/>
        </w:rPr>
        <w:t>Jurnal Rechts Vinding Media Pembinaan Hukum Nasional</w:t>
      </w:r>
      <w:r w:rsidRPr="006E05AF">
        <w:rPr>
          <w:rFonts w:cs="Cambria"/>
          <w:noProof/>
        </w:rPr>
        <w:t xml:space="preserve"> 6, no. 1 (2017): 125–42.</w:t>
      </w:r>
      <w:r w:rsidRPr="006E05AF">
        <w:rPr>
          <w:rFonts w:cs="Cambria"/>
        </w:rPr>
        <w:fldChar w:fldCharType="end"/>
      </w:r>
    </w:p>
  </w:footnote>
  <w:footnote w:id="2">
    <w:p w14:paraId="05010D83" w14:textId="77777777" w:rsidR="005058F1" w:rsidRPr="006E05AF" w:rsidRDefault="005058F1"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7F3729" w:rsidRPr="006E05AF">
        <w:rPr>
          <w:rFonts w:cs="Cambria"/>
        </w:rPr>
        <w:instrText>ADDIN CSL_CITATION {"citationItems":[{"id":"ITEM-1","itemData":{"ISBN":"9791486468","author":[{"dropping-particle":"","family":"Arief","given":"Barda Nawawi","non-dropping-particle":"","parse-names":false,"suffix":""}],"id":"ITEM-1","issued":{"date-parts":[["2016"]]},"publisher":"Prenada Media","title":"Bunga rampai kebijakan hukum pidana","type":"book"},"uris":["http://www.mendeley.com/documents/?uuid=d03be180-ae7e-4659-ad5c-d2ccf5e5782a"]}],"mendeley":{"formattedCitation":"Barda Nawawi Arief, &lt;i&gt;Bunga Rampai Kebijakan Hukum Pidana&lt;/i&gt; (Prenada Media, 2016).","plainTextFormattedCitation":"Barda Nawawi Arief, Bunga Rampai Kebijakan Hukum Pidana (Prenada Media, 2016).","previouslyFormattedCitation":"Barda Nawawi Arief, &lt;i&gt;Bunga Rampai Kebijakan Hukum Pidana&lt;/i&gt; (Prenada Media, 2016)."},"properties":{"noteIndex":2},"schema":"https://github.com/citation-style-language/schema/raw/master/csl-citation.json"}</w:instrText>
      </w:r>
      <w:r w:rsidRPr="006E05AF">
        <w:rPr>
          <w:rFonts w:cs="Cambria"/>
        </w:rPr>
        <w:fldChar w:fldCharType="separate"/>
      </w:r>
      <w:r w:rsidRPr="006E05AF">
        <w:rPr>
          <w:rFonts w:cs="Cambria"/>
          <w:noProof/>
        </w:rPr>
        <w:t xml:space="preserve">Barda Nawawi Arief, </w:t>
      </w:r>
      <w:r w:rsidRPr="006E05AF">
        <w:rPr>
          <w:rFonts w:cs="Cambria"/>
          <w:i/>
          <w:noProof/>
        </w:rPr>
        <w:t>Bunga Rampai Kebijakan Hukum Pidana</w:t>
      </w:r>
      <w:r w:rsidRPr="006E05AF">
        <w:rPr>
          <w:rFonts w:cs="Cambria"/>
          <w:noProof/>
        </w:rPr>
        <w:t xml:space="preserve"> (Prenada Media, 2016).</w:t>
      </w:r>
      <w:r w:rsidRPr="006E05AF">
        <w:rPr>
          <w:rFonts w:cs="Cambria"/>
        </w:rPr>
        <w:fldChar w:fldCharType="end"/>
      </w:r>
    </w:p>
  </w:footnote>
  <w:footnote w:id="3">
    <w:p w14:paraId="14700706" w14:textId="77777777" w:rsidR="001072E2" w:rsidRPr="006E05AF" w:rsidRDefault="001072E2"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7F3729" w:rsidRPr="006E05AF">
        <w:rPr>
          <w:rFonts w:cs="Cambria"/>
        </w:rPr>
        <w:instrText>ADDIN CSL_CITATION {"citationItems":[{"id":"ITEM-1","itemData":{"URL":"https://komnasperempuan.go.id/catatan-tahunan-detail/catahu-2025-menguatkan-data-mengatasi-kerentanan-mendesak-negara-bersikap-untuk-keadilan-korban","author":[{"dropping-particle":"","family":"Perempuan","given":"Komnas","non-dropping-particle":"","parse-names":false,"suffix":""}],"id":"ITEM-1","issued":{"date-parts":[["2026"]]},"title":"CATAHU 2025: Menguatkan Data, Mengatasi Kerentanan, Mendesak Negara Bersikap Untuk Keadilan Korban","type":"webpage"},"uris":["http://www.mendeley.com/documents/?uuid=4b0ff540-c802-4828-b35a-11686667bb27"]}],"mendeley":{"formattedCitation":"Komnas Perempuan, “CATAHU 2025: Menguatkan Data, Mengatasi Kerentanan, Mendesak Negara Bersikap Untuk Keadilan Korban,” 2026, https://komnasperempuan.go.id/catatan-tahunan-detail/catahu-2025-menguatkan-data-mengatasi-kerentanan-mendesak-negara-bersikap-untuk-keadilan-korban.","plainTextFormattedCitation":"Komnas Perempuan, “CATAHU 2025: Menguatkan Data, Mengatasi Kerentanan, Mendesak Negara Bersikap Untuk Keadilan Korban,” 2026, https://komnasperempuan.go.id/catatan-tahunan-detail/catahu-2025-menguatkan-data-mengatasi-kerentanan-mendesak-negara-bersikap-untuk-keadilan-korban.","previouslyFormattedCitation":"Komnas Perempuan, “CATAHU 2025: Menguatkan Data, Mengatasi Kerentanan, Mendesak Negara Bersikap Untuk Keadilan Korban,” 2026, https://komnasperempuan.go.id/catatan-tahunan-detail/catahu-2025-menguatkan-data-mengatasi-kerentanan-mendesak-negara-bersikap-untuk-keadilan-korban."},"properties":{"noteIndex":3},"schema":"https://github.com/citation-style-language/schema/raw/master/csl-citation.json"}</w:instrText>
      </w:r>
      <w:r w:rsidRPr="006E05AF">
        <w:rPr>
          <w:rFonts w:cs="Cambria"/>
        </w:rPr>
        <w:fldChar w:fldCharType="separate"/>
      </w:r>
      <w:r w:rsidRPr="006E05AF">
        <w:rPr>
          <w:rFonts w:cs="Cambria"/>
          <w:noProof/>
        </w:rPr>
        <w:t>Komnas Perempuan, “CATAHU 2025: Menguatkan Data, Mengatasi Kerentanan, Mendesak Negara Bersikap Untuk Keadilan Korban,” 2026, https://komnasperempuan.go.id/catatan-tahunan-detail/catahu-2025-menguatkan-data-mengatasi-kerentanan-mendesak-negara-bersikap-untuk-keadilan-korban.</w:t>
      </w:r>
      <w:r w:rsidRPr="006E05AF">
        <w:rPr>
          <w:rFonts w:cs="Cambria"/>
        </w:rPr>
        <w:fldChar w:fldCharType="end"/>
      </w:r>
    </w:p>
  </w:footnote>
  <w:footnote w:id="4">
    <w:p w14:paraId="28CA4002" w14:textId="77777777" w:rsidR="007F3729" w:rsidRPr="006E05AF" w:rsidRDefault="007F3729"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Pr="006E05AF">
        <w:rPr>
          <w:rFonts w:cs="Cambria"/>
        </w:rPr>
        <w:instrText>ADDIN CSL_CITATION {"citationItems":[{"id":"ITEM-1","itemData":{"ISSN":"2808-103X","author":[{"dropping-particle":"","family":"Senjaya","given":"Oci","non-dropping-particle":"","parse-names":false,"suffix":""},{"dropping-particle":"","family":"Koswara","given":"Indra Yudha","non-dropping-particle":"","parse-names":false,"suffix":""},{"dropping-particle":"","family":"Pura","given":"Margo Hadi","non-dropping-particle":"","parse-names":false,"suffix":""}],"container-title":"Proceedings Series on Social Sciences &amp; Humanities","id":"ITEM-1","issued":{"date-parts":[["2025"]]},"page":"1-16","title":"Kendala dan Tantangan Perlindungan Kelompok Rentan dalam Proses Peradilan Pidana Indonesia: Perspektif Hak Asasi Manusia","type":"article-journal","volume":"27"},"uris":["http://www.mendeley.com/documents/?uuid=bfc043a7-785b-4d43-ab69-e202d25ef851"]}],"mendeley":{"formattedCitation":"Oci Senjaya, Indra Yudha Koswara, and Margo Hadi Pura, “Kendala Dan Tantangan Perlindungan Kelompok Rentan Dalam Proses Peradilan Pidana Indonesia: Perspektif Hak Asasi Manusia,” &lt;i&gt;Proceedings Series on Social Sciences &amp; Humanities&lt;/i&gt; 27 (2025): 1–16.","plainTextFormattedCitation":"Oci Senjaya, Indra Yudha Koswara, and Margo Hadi Pura, “Kendala Dan Tantangan Perlindungan Kelompok Rentan Dalam Proses Peradilan Pidana Indonesia: Perspektif Hak Asasi Manusia,” Proceedings Series on Social Sciences &amp; Humanities 27 (2025): 1–16.","previouslyFormattedCitation":"Oci Senjaya, Indra Yudha Koswara, and Margo Hadi Pura, “Kendala Dan Tantangan Perlindungan Kelompok Rentan Dalam Proses Peradilan Pidana Indonesia: Perspektif Hak Asasi Manusia,” &lt;i&gt;Proceedings Series on Social Sciences &amp; Humanities&lt;/i&gt; 27 (2025): 1–16."},"properties":{"noteIndex":4},"schema":"https://github.com/citation-style-language/schema/raw/master/csl-citation.json"}</w:instrText>
      </w:r>
      <w:r w:rsidRPr="006E05AF">
        <w:rPr>
          <w:rFonts w:cs="Cambria"/>
        </w:rPr>
        <w:fldChar w:fldCharType="separate"/>
      </w:r>
      <w:r w:rsidRPr="006E05AF">
        <w:rPr>
          <w:rFonts w:cs="Cambria"/>
          <w:noProof/>
        </w:rPr>
        <w:t xml:space="preserve">Oci Senjaya, Indra Yudha Koswara, and Margo Hadi Pura, “Kendala Dan Tantangan Perlindungan Kelompok Rentan Dalam Proses Peradilan Pidana Indonesia: Perspektif Hak Asasi Manusia,” </w:t>
      </w:r>
      <w:r w:rsidRPr="006E05AF">
        <w:rPr>
          <w:rFonts w:cs="Cambria"/>
          <w:i/>
          <w:noProof/>
        </w:rPr>
        <w:t>Proceedings Series on Social Sciences &amp; Humanities</w:t>
      </w:r>
      <w:r w:rsidRPr="006E05AF">
        <w:rPr>
          <w:rFonts w:cs="Cambria"/>
          <w:noProof/>
        </w:rPr>
        <w:t xml:space="preserve"> 27 (2025): 1–16.</w:t>
      </w:r>
      <w:r w:rsidRPr="006E05AF">
        <w:rPr>
          <w:rFonts w:cs="Cambria"/>
        </w:rPr>
        <w:fldChar w:fldCharType="end"/>
      </w:r>
    </w:p>
  </w:footnote>
  <w:footnote w:id="5">
    <w:p w14:paraId="7206437F" w14:textId="77777777" w:rsidR="00546831" w:rsidRPr="006E05AF" w:rsidRDefault="00546831"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Pr="006E05AF">
        <w:rPr>
          <w:rFonts w:cs="Cambria"/>
        </w:rPr>
        <w:instrText>ADDIN CSL_CITATION {"citationItems":[{"id":"ITEM-1","itemData":{"ISSN":"3026-2917","author":[{"dropping-particle":"","family":"Siking","given":"Muhamad Zubair","non-dropping-particle":"","parse-names":false,"suffix":""},{"dropping-particle":"","family":"Imran","given":"Suwitno Y","non-dropping-particle":"","parse-names":false,"suffix":""},{"dropping-particle":"","family":"Achir","given":"Nuvazria","non-dropping-particle":"","parse-names":false,"suffix":""}],"container-title":"Al-Zayn: Jurnal Ilmu Sosial &amp; Hukum","id":"ITEM-1","issue":"3","issued":{"date-parts":[["2025"]]},"page":"1822-1835","title":"Hambatan Kepolisian Dalam Upaya Perlindungan Tindak Pidana Kekerasan Dalam Rumah Tangga","type":"article-journal","volume":"3"},"uris":["http://www.mendeley.com/documents/?uuid=09c16439-6771-4dc3-b472-3d482259ef9c"]}],"mendeley":{"formattedCitation":"Muhamad Zubair Siking, Suwitno Y Imran, and Nuvazria Achir, “Hambatan Kepolisian Dalam Upaya Perlindungan Tindak Pidana Kekerasan Dalam Rumah Tangga,” &lt;i&gt;Al-Zayn: Jurnal Ilmu Sosial &amp; Hukum&lt;/i&gt; 3, no. 3 (2025): 1822–35.","plainTextFormattedCitation":"Muhamad Zubair Siking, Suwitno Y Imran, and Nuvazria Achir, “Hambatan Kepolisian Dalam Upaya Perlindungan Tindak Pidana Kekerasan Dalam Rumah Tangga,” Al-Zayn: Jurnal Ilmu Sosial &amp; Hukum 3, no. 3 (2025): 1822–35.","previouslyFormattedCitation":"Muhamad Zubair Siking, Suwitno Y Imran, and Nuvazria Achir, “Hambatan Kepolisian Dalam Upaya Perlindungan Tindak Pidana Kekerasan Dalam Rumah Tangga,” &lt;i&gt;Al-Zayn: Jurnal Ilmu Sosial &amp; Hukum&lt;/i&gt; 3, no. 3 (2025): 1822–35."},"properties":{"noteIndex":5},"schema":"https://github.com/citation-style-language/schema/raw/master/csl-citation.json"}</w:instrText>
      </w:r>
      <w:r w:rsidRPr="006E05AF">
        <w:rPr>
          <w:rFonts w:cs="Cambria"/>
        </w:rPr>
        <w:fldChar w:fldCharType="separate"/>
      </w:r>
      <w:r w:rsidRPr="006E05AF">
        <w:rPr>
          <w:rFonts w:cs="Cambria"/>
          <w:noProof/>
        </w:rPr>
        <w:t xml:space="preserve">Muhamad Zubair Siking, Suwitno Y Imran, and Nuvazria Achir, “Hambatan Kepolisian Dalam Upaya Perlindungan Tindak Pidana Kekerasan Dalam Rumah Tangga,” </w:t>
      </w:r>
      <w:r w:rsidRPr="006E05AF">
        <w:rPr>
          <w:rFonts w:cs="Cambria"/>
          <w:i/>
          <w:noProof/>
        </w:rPr>
        <w:t>Al-Zayn: Jurnal Ilmu Sosial &amp; Hukum</w:t>
      </w:r>
      <w:r w:rsidRPr="006E05AF">
        <w:rPr>
          <w:rFonts w:cs="Cambria"/>
          <w:noProof/>
        </w:rPr>
        <w:t xml:space="preserve"> 3, no. 3 (2025): 1822–35.</w:t>
      </w:r>
      <w:r w:rsidRPr="006E05AF">
        <w:rPr>
          <w:rFonts w:cs="Cambria"/>
        </w:rPr>
        <w:fldChar w:fldCharType="end"/>
      </w:r>
    </w:p>
  </w:footnote>
  <w:footnote w:id="6">
    <w:p w14:paraId="755856DF" w14:textId="77777777" w:rsidR="007F3729" w:rsidRPr="006E05AF" w:rsidRDefault="007F3729"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546831" w:rsidRPr="006E05AF">
        <w:rPr>
          <w:rFonts w:cs="Cambria"/>
        </w:rPr>
        <w:instrText>ADDIN CSL_CITATION {"citationItems":[{"id":"ITEM-1","itemData":{"ISSN":"2963-590X","author":[{"dropping-particle":"","family":"Perkasa","given":"Revo","non-dropping-particle":"","parse-names":false,"suffix":""},{"dropping-particle":"","family":"Gilalo","given":"J Jopie","non-dropping-particle":"","parse-names":false,"suffix":""},{"dropping-particle":"","family":"Rumatiga","given":"Hidayat","non-dropping-particle":"","parse-names":false,"suffix":""}],"container-title":"Karimah Tauhid","id":"ITEM-1","issue":"6","issued":{"date-parts":[["2024"]]},"page":"6608-6618","title":"Penyelesaian Tindak Pidana KDRT Terhadap Perempuan Berdasarkan Keadilan Restoratif","type":"article-journal","volume":"3"},"uris":["http://www.mendeley.com/documents/?uuid=6e3ee29f-d124-4fba-9fda-9467577f6a01"]}],"mendeley":{"formattedCitation":"Revo Perkasa, J Jopie Gilalo, and Hidayat Rumatiga, “Penyelesaian Tindak Pidana KDRT Terhadap Perempuan Berdasarkan Keadilan Restoratif,” &lt;i&gt;Karimah Tauhid&lt;/i&gt; 3, no. 6 (2024): 6608–18.","plainTextFormattedCitation":"Revo Perkasa, J Jopie Gilalo, and Hidayat Rumatiga, “Penyelesaian Tindak Pidana KDRT Terhadap Perempuan Berdasarkan Keadilan Restoratif,” Karimah Tauhid 3, no. 6 (2024): 6608–18.","previouslyFormattedCitation":"Revo Perkasa, J Jopie Gilalo, and Hidayat Rumatiga, “Penyelesaian Tindak Pidana KDRT Terhadap Perempuan Berdasarkan Keadilan Restoratif,” &lt;i&gt;Karimah Tauhid&lt;/i&gt; 3, no. 6 (2024): 6608–18."},"properties":{"noteIndex":6},"schema":"https://github.com/citation-style-language/schema/raw/master/csl-citation.json"}</w:instrText>
      </w:r>
      <w:r w:rsidRPr="006E05AF">
        <w:rPr>
          <w:rFonts w:cs="Cambria"/>
        </w:rPr>
        <w:fldChar w:fldCharType="separate"/>
      </w:r>
      <w:r w:rsidRPr="006E05AF">
        <w:rPr>
          <w:rFonts w:cs="Cambria"/>
          <w:noProof/>
        </w:rPr>
        <w:t xml:space="preserve">Revo Perkasa, J Jopie Gilalo, and Hidayat Rumatiga, “Penyelesaian Tindak Pidana KDRT Terhadap Perempuan Berdasarkan Keadilan Restoratif,” </w:t>
      </w:r>
      <w:r w:rsidRPr="006E05AF">
        <w:rPr>
          <w:rFonts w:cs="Cambria"/>
          <w:i/>
          <w:noProof/>
        </w:rPr>
        <w:t>Karimah Tauhid</w:t>
      </w:r>
      <w:r w:rsidRPr="006E05AF">
        <w:rPr>
          <w:rFonts w:cs="Cambria"/>
          <w:noProof/>
        </w:rPr>
        <w:t xml:space="preserve"> 3, no. 6 (2024): 6608–18.</w:t>
      </w:r>
      <w:r w:rsidRPr="006E05AF">
        <w:rPr>
          <w:rFonts w:cs="Cambria"/>
        </w:rPr>
        <w:fldChar w:fldCharType="end"/>
      </w:r>
    </w:p>
  </w:footnote>
  <w:footnote w:id="7">
    <w:p w14:paraId="59098D0A" w14:textId="77777777" w:rsidR="00546831" w:rsidRPr="006E05AF" w:rsidRDefault="00546831"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Pr="006E05AF">
        <w:rPr>
          <w:rFonts w:cs="Cambria"/>
        </w:rPr>
        <w:instrText>ADDIN CSL_CITATION {"citationItems":[{"id":"ITEM-1","itemData":{"DOI":"https://doi.org/10.38035/rrj.v6i6.1211","ISSN":"2655-0865","author":[{"dropping-particle":"","family":"Muzayin","given":"Andi Faizal","non-dropping-particle":"","parse-names":false,"suffix":""},{"dropping-particle":"","family":"Pinandang","given":"Catur Alam","non-dropping-particle":"","parse-names":false,"suffix":""},{"dropping-particle":"","family":"Rois","given":"Diandra Kis Arumpuspita","non-dropping-particle":"","parse-names":false,"suffix":""}],"container-title":"Ranah Research: Journal of Multidisciplinary Research and Development","id":"ITEM-1","issue":"6","issued":{"date-parts":[["2024"]]},"page":"2957-2963","title":"Pemenuhan Hak Korban Tindak Pidana Kekerasan Seksual Dikaitkan Dengan UU TPKS","type":"article-journal","volume":"6"},"uris":["http://www.mendeley.com/documents/?uuid=33a35489-699d-43dc-a643-3ff7a5cd9c34"]}],"mendeley":{"formattedCitation":"Andi Faizal Muzayin, Catur Alam Pinandang, and Diandra Kis Arumpuspita Rois, “Pemenuhan Hak Korban Tindak Pidana Kekerasan Seksual Dikaitkan Dengan UU TPKS,” &lt;i&gt;Ranah Research: Journal of Multidisciplinary Research and Development&lt;/i&gt; 6, no. 6 (2024): 2957–63, https://doi.org/https://doi.org/10.38035/rrj.v6i6.1211.","plainTextFormattedCitation":"Andi Faizal Muzayin, Catur Alam Pinandang, and Diandra Kis Arumpuspita Rois, “Pemenuhan Hak Korban Tindak Pidana Kekerasan Seksual Dikaitkan Dengan UU TPKS,” Ranah Research: Journal of Multidisciplinary Research and Development 6, no. 6 (2024): 2957–63, https://doi.org/https://doi.org/10.38035/rrj.v6i6.1211.","previouslyFormattedCitation":"Andi Faizal Muzayin, Catur Alam Pinandang, and Diandra Kis Arumpuspita Rois, “Pemenuhan Hak Korban Tindak Pidana Kekerasan Seksual Dikaitkan Dengan UU TPKS,” &lt;i&gt;Ranah Research: Journal of Multidisciplinary Research and Development&lt;/i&gt; 6, no. 6 (2024): 2957–63, https://doi.org/https://doi.org/10.38035/rrj.v6i6.1211."},"properties":{"noteIndex":7},"schema":"https://github.com/citation-style-language/schema/raw/master/csl-citation.json"}</w:instrText>
      </w:r>
      <w:r w:rsidRPr="006E05AF">
        <w:rPr>
          <w:rFonts w:cs="Cambria"/>
        </w:rPr>
        <w:fldChar w:fldCharType="separate"/>
      </w:r>
      <w:r w:rsidRPr="006E05AF">
        <w:rPr>
          <w:rFonts w:cs="Cambria"/>
          <w:noProof/>
        </w:rPr>
        <w:t xml:space="preserve">Andi Faizal Muzayin, Catur Alam Pinandang, and Diandra Kis Arumpuspita Rois, “Pemenuhan Hak Korban Tindak Pidana Kekerasan Seksual Dikaitkan Dengan UU TPKS,” </w:t>
      </w:r>
      <w:r w:rsidRPr="006E05AF">
        <w:rPr>
          <w:rFonts w:cs="Cambria"/>
          <w:i/>
          <w:noProof/>
        </w:rPr>
        <w:t>Ranah Research: Journal of Multidisciplinary Research and Development</w:t>
      </w:r>
      <w:r w:rsidRPr="006E05AF">
        <w:rPr>
          <w:rFonts w:cs="Cambria"/>
          <w:noProof/>
        </w:rPr>
        <w:t xml:space="preserve"> 6, no. 6 (2024): 2957–63, https://doi.org/10.38035/rrj.v6i6.1211.</w:t>
      </w:r>
      <w:r w:rsidRPr="006E05AF">
        <w:rPr>
          <w:rFonts w:cs="Cambria"/>
        </w:rPr>
        <w:fldChar w:fldCharType="end"/>
      </w:r>
    </w:p>
  </w:footnote>
  <w:footnote w:id="8">
    <w:p w14:paraId="5E74A55A" w14:textId="77777777" w:rsidR="007F3729" w:rsidRPr="006E05AF" w:rsidRDefault="007F3729"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546831" w:rsidRPr="006E05AF">
        <w:rPr>
          <w:rFonts w:cs="Cambria"/>
        </w:rPr>
        <w:instrText>ADDIN CSL_CITATION {"citationItems":[{"id":"ITEM-1","itemData":{"ISSN":"2747-2000","author":[{"dropping-particle":"","family":"Rofina Thenu","given":"Hana Mifta","non-dropping-particle":"","parse-names":false,"suffix":""},{"dropping-particle":"","family":"Mulyani","given":"Leni Widi","non-dropping-particle":"","parse-names":false,"suffix":""}],"container-title":"Jurnal Ilmu Hukum, Humaniora dan Politik (JIHHP)","id":"ITEM-1","issue":"6","issued":{"date-parts":[["2024"]]},"title":"Pemenuhan Hak Korban Penyandang Disabilitas dalam Sistem Peradilan Pidana Indonesia.","type":"article-journal","volume":"4"},"uris":["http://www.mendeley.com/documents/?uuid=f65aaa29-72ad-4a13-a9d1-09a1e3b56afa"]}],"mendeley":{"formattedCitation":"Hana Mifta Rofina Thenu and Leni Widi Mulyani, “Pemenuhan Hak Korban Penyandang Disabilitas Dalam Sistem Peradilan Pidana Indonesia.,” &lt;i&gt;Jurnal Ilmu Hukum, Humaniora Dan Politik (JIHHP)&lt;/i&gt; 4, no. 6 (2024).","plainTextFormattedCitation":"Hana Mifta Rofina Thenu and Leni Widi Mulyani, “Pemenuhan Hak Korban Penyandang Disabilitas Dalam Sistem Peradilan Pidana Indonesia.,” Jurnal Ilmu Hukum, Humaniora Dan Politik (JIHHP) 4, no. 6 (2024).","previouslyFormattedCitation":"Hana Mifta Rofina Thenu and Leni Widi Mulyani, “Pemenuhan Hak Korban Penyandang Disabilitas Dalam Sistem Peradilan Pidana Indonesia.,” &lt;i&gt;Jurnal Ilmu Hukum, Humaniora Dan Politik (JIHHP)&lt;/i&gt; 4, no. 6 (2024)."},"properties":{"noteIndex":8},"schema":"https://github.com/citation-style-language/schema/raw/master/csl-citation.json"}</w:instrText>
      </w:r>
      <w:r w:rsidRPr="006E05AF">
        <w:rPr>
          <w:rFonts w:cs="Cambria"/>
        </w:rPr>
        <w:fldChar w:fldCharType="separate"/>
      </w:r>
      <w:r w:rsidRPr="006E05AF">
        <w:rPr>
          <w:rFonts w:cs="Cambria"/>
          <w:noProof/>
        </w:rPr>
        <w:t xml:space="preserve">Hana Mifta Rofina Thenu and Leni Widi Mulyani, “Pemenuhan Hak Korban Penyandang Disabilitas Dalam Sistem Peradilan Pidana Indonesia.,” </w:t>
      </w:r>
      <w:r w:rsidRPr="006E05AF">
        <w:rPr>
          <w:rFonts w:cs="Cambria"/>
          <w:i/>
          <w:noProof/>
        </w:rPr>
        <w:t>Jurnal Ilmu Hukum, Humaniora Dan Politik (JIHHP)</w:t>
      </w:r>
      <w:r w:rsidRPr="006E05AF">
        <w:rPr>
          <w:rFonts w:cs="Cambria"/>
          <w:noProof/>
        </w:rPr>
        <w:t xml:space="preserve"> 4, no. 6 (2024).</w:t>
      </w:r>
      <w:r w:rsidRPr="006E05AF">
        <w:rPr>
          <w:rFonts w:cs="Cambria"/>
        </w:rPr>
        <w:fldChar w:fldCharType="end"/>
      </w:r>
    </w:p>
  </w:footnote>
  <w:footnote w:id="9">
    <w:p w14:paraId="3BF85D0A" w14:textId="77777777" w:rsidR="007F3729" w:rsidRPr="006E05AF" w:rsidRDefault="007F3729"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546831" w:rsidRPr="006E05AF">
        <w:rPr>
          <w:rFonts w:cs="Cambria"/>
        </w:rPr>
        <w:instrText>ADDIN CSL_CITATION {"citationItems":[{"id":"ITEM-1","itemData":{"DOI":"https://doi.org/10.25008/altifani.v3i1.346","ISSN":"2774-6240","author":[{"dropping-particle":"","family":"Satino","given":"Satino","non-dropping-particle":"","parse-names":false,"suffix":""},{"dropping-particle":"","family":"Agustanti","given":"Rosalia Dika","non-dropping-particle":"","parse-names":false,"suffix":""},{"dropping-particle":"","family":"Taupiqqurrahman","given":"Taupiqqurrahman","non-dropping-particle":"","parse-names":false,"suffix":""},{"dropping-particle":"","family":"Nasution","given":"Ali Imran","non-dropping-particle":"","parse-names":false,"suffix":""},{"dropping-particle":"","family":"Dirkareshza","given":"Rianda","non-dropping-particle":"","parse-names":false,"suffix":""}],"container-title":"Jurnal Altifani Penelitian dan Pengabdian kepada Masyarakat","id":"ITEM-1","issue":"1","issued":{"date-parts":[["2023"]]},"page":"78-87","title":"Sosialisasi Dan Pendampingan Dalam Upaya Pemenuhan Hak-Hak Anak Korban Kekerasan Dan Diskriminasi","type":"article-journal","volume":"3"},"uris":["http://www.mendeley.com/documents/?uuid=811c841b-a9d0-4eb8-bb0b-c0ff6ce9d5de"]}],"mendeley":{"formattedCitation":"Satino Satino et al., “Sosialisasi Dan Pendampingan Dalam Upaya Pemenuhan Hak-Hak Anak Korban Kekerasan Dan Diskriminasi,” &lt;i&gt;Jurnal Altifani Penelitian Dan Pengabdian Kepada Masyarakat&lt;/i&gt; 3, no. 1 (2023): 78–87, https://doi.org/https://doi.org/10.25008/altifani.v3i1.346.","plainTextFormattedCitation":"Satino Satino et al., “Sosialisasi Dan Pendampingan Dalam Upaya Pemenuhan Hak-Hak Anak Korban Kekerasan Dan Diskriminasi,” Jurnal Altifani Penelitian Dan Pengabdian Kepada Masyarakat 3, no. 1 (2023): 78–87, https://doi.org/https://doi.org/10.25008/altifani.v3i1.346.","previouslyFormattedCitation":"Satino Satino et al., “Sosialisasi Dan Pendampingan Dalam Upaya Pemenuhan Hak-Hak Anak Korban Kekerasan Dan Diskriminasi,” &lt;i&gt;Jurnal Altifani Penelitian Dan Pengabdian Kepada Masyarakat&lt;/i&gt; 3, no. 1 (2023): 78–87, https://doi.org/https://doi.org/10.25008/altifani.v3i1.346."},"properties":{"noteIndex":9},"schema":"https://github.com/citation-style-language/schema/raw/master/csl-citation.json"}</w:instrText>
      </w:r>
      <w:r w:rsidRPr="006E05AF">
        <w:rPr>
          <w:rFonts w:cs="Cambria"/>
        </w:rPr>
        <w:fldChar w:fldCharType="separate"/>
      </w:r>
      <w:r w:rsidRPr="006E05AF">
        <w:rPr>
          <w:rFonts w:cs="Cambria"/>
          <w:noProof/>
        </w:rPr>
        <w:t xml:space="preserve">Satino Satino et al., “Sosialisasi Dan Pendampingan Dalam Upaya Pemenuhan Hak-Hak Anak Korban Kekerasan Dan Diskriminasi,” </w:t>
      </w:r>
      <w:r w:rsidRPr="006E05AF">
        <w:rPr>
          <w:rFonts w:cs="Cambria"/>
          <w:i/>
          <w:noProof/>
        </w:rPr>
        <w:t>Jurnal Altifani Penelitian Dan Pengabdian Kepada Masyarakat</w:t>
      </w:r>
      <w:r w:rsidRPr="006E05AF">
        <w:rPr>
          <w:rFonts w:cs="Cambria"/>
          <w:noProof/>
        </w:rPr>
        <w:t xml:space="preserve"> 3, no. 1 (2023): 78–87, https://doi.org/10.25008/altifani.v3i1.346.</w:t>
      </w:r>
      <w:r w:rsidRPr="006E05AF">
        <w:rPr>
          <w:rFonts w:cs="Cambria"/>
        </w:rPr>
        <w:fldChar w:fldCharType="end"/>
      </w:r>
    </w:p>
  </w:footnote>
  <w:footnote w:id="10">
    <w:p w14:paraId="42161F53" w14:textId="77777777" w:rsidR="007F3729" w:rsidRPr="006E05AF" w:rsidRDefault="007F3729"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546831" w:rsidRPr="006E05AF">
        <w:rPr>
          <w:rFonts w:cs="Cambria"/>
        </w:rPr>
        <w:instrText>ADDIN CSL_CITATION {"citationItems":[{"id":"ITEM-1","itemData":{"DOI":"https://doi.org/10.22373/takamul.v11i2.18558","ISSN":"2550-1348","author":[{"dropping-particle":"","family":"Baizah","given":"Zahrul","non-dropping-particle":"","parse-names":false,"suffix":""}],"container-title":"Takammul: Jurnal Studi Gender dan Islam Serta Perlindungan Anak","id":"ITEM-1","issue":"2","issued":{"date-parts":[["2022"]]},"page":"74-82","title":"Perempuan Berhadapan Dengan Hukum","type":"article-journal","volume":"11"},"uris":["http://www.mendeley.com/documents/?uuid=9cd9a0c0-1463-4a4b-8ef1-4540af7a58fc"]}],"mendeley":{"formattedCitation":"Zahrul Baizah, “Perempuan Berhadapan Dengan Hukum,” &lt;i&gt;Takammul: Jurnal Studi Gender Dan Islam Serta Perlindungan Anak&lt;/i&gt; 11, no. 2 (2022): 74–82, https://doi.org/https://doi.org/10.22373/takamul.v11i2.18558.","plainTextFormattedCitation":"Zahrul Baizah, “Perempuan Berhadapan Dengan Hukum,” Takammul: Jurnal Studi Gender Dan Islam Serta Perlindungan Anak 11, no. 2 (2022): 74–82, https://doi.org/https://doi.org/10.22373/takamul.v11i2.18558.","previouslyFormattedCitation":"Zahrul Baizah, “Perempuan Berhadapan Dengan Hukum,” &lt;i&gt;Takammul: Jurnal Studi Gender Dan Islam Serta Perlindungan Anak&lt;/i&gt; 11, no. 2 (2022): 74–82, https://doi.org/https://doi.org/10.22373/takamul.v11i2.18558."},"properties":{"noteIndex":10},"schema":"https://github.com/citation-style-language/schema/raw/master/csl-citation.json"}</w:instrText>
      </w:r>
      <w:r w:rsidRPr="006E05AF">
        <w:rPr>
          <w:rFonts w:cs="Cambria"/>
        </w:rPr>
        <w:fldChar w:fldCharType="separate"/>
      </w:r>
      <w:r w:rsidRPr="006E05AF">
        <w:rPr>
          <w:rFonts w:cs="Cambria"/>
          <w:noProof/>
        </w:rPr>
        <w:t xml:space="preserve">Zahrul Baizah, “Perempuan Berhadapan Dengan Hukum,” </w:t>
      </w:r>
      <w:r w:rsidRPr="006E05AF">
        <w:rPr>
          <w:rFonts w:cs="Cambria"/>
          <w:i/>
          <w:noProof/>
        </w:rPr>
        <w:t>Takammul: Jurnal Studi Gender Dan Islam Serta Perlindungan Anak</w:t>
      </w:r>
      <w:r w:rsidRPr="006E05AF">
        <w:rPr>
          <w:rFonts w:cs="Cambria"/>
          <w:noProof/>
        </w:rPr>
        <w:t xml:space="preserve"> 11, no. 2 (2022): 74–82, https://doi.org/10.22373/takamul.v11i2.18558.</w:t>
      </w:r>
      <w:r w:rsidRPr="006E05AF">
        <w:rPr>
          <w:rFonts w:cs="Cambria"/>
        </w:rPr>
        <w:fldChar w:fldCharType="end"/>
      </w:r>
    </w:p>
  </w:footnote>
  <w:footnote w:id="11">
    <w:p w14:paraId="65BC930F" w14:textId="77777777" w:rsidR="00546831" w:rsidRPr="006E05AF" w:rsidRDefault="00546831"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933836" w:rsidRPr="006E05AF">
        <w:rPr>
          <w:rFonts w:cs="Cambria"/>
        </w:rPr>
        <w:instrText>ADDIN CSL_CITATION {"citationItems":[{"id":"ITEM-1","itemData":{"ISSN":"3026-2917","author":[{"dropping-particle":"","family":"Triana","given":"Ikama Dewi Setia","non-dropping-particle":"","parse-names":false,"suffix":""},{"dropping-particle":"","family":"Irza","given":"Muhammad Yusril","non-dropping-particle":"","parse-names":false,"suffix":""},{"dropping-particle":"","family":"Awaludin","given":"Arif","non-dropping-particle":"","parse-names":false,"suffix":""}],"container-title":"Al-Zayn: Jurnal Ilmu Sosial &amp; Hukum","id":"ITEM-1","issue":"6","issued":{"date-parts":[["2025"]]},"page":"8293-8304","title":"Reformasi KUHAP dalam membangun sistem peradilan pidana yang berkeadilan dan perlindungan hak asasi manusia","type":"article-journal","volume":"3"},"uris":["http://www.mendeley.com/documents/?uuid=92b204bc-6828-4172-a070-0f32f398b11a"]}],"mendeley":{"formattedCitation":"Ikama Dewi Setia Triana, Muhammad Yusril Irza, and Arif Awaludin, “Reformasi KUHAP Dalam Membangun Sistem Peradilan Pidana Yang Berkeadilan Dan Perlindungan Hak Asasi Manusia,” &lt;i&gt;Al-Zayn: Jurnal Ilmu Sosial &amp; Hukum&lt;/i&gt; 3, no. 6 (2025): 8293–8304.","plainTextFormattedCitation":"Ikama Dewi Setia Triana, Muhammad Yusril Irza, and Arif Awaludin, “Reformasi KUHAP Dalam Membangun Sistem Peradilan Pidana Yang Berkeadilan Dan Perlindungan Hak Asasi Manusia,” Al-Zayn: Jurnal Ilmu Sosial &amp; Hukum 3, no. 6 (2025): 8293–8304.","previouslyFormattedCitation":"Ikama Dewi Setia Triana, Muhammad Yusril Irza, and Arif Awaludin, “Reformasi KUHAP Dalam Membangun Sistem Peradilan Pidana Yang Berkeadilan Dan Perlindungan Hak Asasi Manusia,” &lt;i&gt;Al-Zayn: Jurnal Ilmu Sosial &amp; Hukum&lt;/i&gt; 3, no. 6 (2025): 8293–8304."},"properties":{"noteIndex":11},"schema":"https://github.com/citation-style-language/schema/raw/master/csl-citation.json"}</w:instrText>
      </w:r>
      <w:r w:rsidRPr="006E05AF">
        <w:rPr>
          <w:rFonts w:cs="Cambria"/>
        </w:rPr>
        <w:fldChar w:fldCharType="separate"/>
      </w:r>
      <w:r w:rsidRPr="006E05AF">
        <w:rPr>
          <w:rFonts w:cs="Cambria"/>
          <w:noProof/>
        </w:rPr>
        <w:t xml:space="preserve">Ikama Dewi Setia Triana, Muhammad Yusril Irza, and Arif Awaludin, “Reformasi KUHAP Dalam Membangun Sistem Peradilan Pidana Yang Berkeadilan Dan Perlindungan Hak Asasi Manusia,” </w:t>
      </w:r>
      <w:r w:rsidRPr="006E05AF">
        <w:rPr>
          <w:rFonts w:cs="Cambria"/>
          <w:i/>
          <w:noProof/>
        </w:rPr>
        <w:t>Al-Zayn: Jurnal Ilmu Sosial &amp; Hukum</w:t>
      </w:r>
      <w:r w:rsidRPr="006E05AF">
        <w:rPr>
          <w:rFonts w:cs="Cambria"/>
          <w:noProof/>
        </w:rPr>
        <w:t xml:space="preserve"> 3, no. 6 (2025): 8293–8304.</w:t>
      </w:r>
      <w:r w:rsidRPr="006E05AF">
        <w:rPr>
          <w:rFonts w:cs="Cambria"/>
        </w:rPr>
        <w:fldChar w:fldCharType="end"/>
      </w:r>
    </w:p>
  </w:footnote>
  <w:footnote w:id="12">
    <w:p w14:paraId="0E629379" w14:textId="77777777" w:rsidR="00DF3D1A" w:rsidRPr="006E05AF" w:rsidRDefault="00000000">
      <w:pPr>
        <w:spacing w:after="0" w:line="240" w:lineRule="auto"/>
        <w:ind w:firstLine="567"/>
        <w:jc w:val="both"/>
        <w:rPr>
          <w:sz w:val="20"/>
          <w:szCs w:val="18"/>
        </w:rPr>
      </w:pPr>
      <w:r w:rsidRPr="006E05AF">
        <w:rPr>
          <w:rFonts w:cs="Cambria"/>
          <w:sz w:val="20"/>
          <w:szCs w:val="20"/>
          <w:vertAlign w:val="superscript"/>
        </w:rPr>
        <w:footnoteRef/>
      </w:r>
      <w:r w:rsidRPr="006E05AF">
        <w:rPr>
          <w:rFonts w:cs="Cambria"/>
          <w:sz w:val="20"/>
          <w:szCs w:val="20"/>
        </w:rPr>
        <w:t xml:space="preserve"> Ministry of Women’s Empowerment and Child Protection of the Republic of Indonesia, Ministerial Decree Number 112 of 2025 concerning the Ruang Bersama Indonesia Organizing Team (2025).</w:t>
      </w:r>
    </w:p>
  </w:footnote>
  <w:footnote w:id="13">
    <w:p w14:paraId="76C04772" w14:textId="77777777" w:rsidR="005058F1" w:rsidRPr="006E05AF" w:rsidRDefault="005058F1"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546831" w:rsidRPr="006E05AF">
        <w:rPr>
          <w:rFonts w:cs="Cambria"/>
        </w:rPr>
        <w:instrText>ADDIN CSL_CITATION {"citationItems":[{"id":"ITEM-1","itemData":{"ISBN":"9786027985162","author":[{"dropping-particle":"","family":"Peter Mahmud Marzuki","given":"","non-dropping-particle":"","parse-names":false,"suffix":""}],"edition":"Edisi Revi","id":"ITEM-1","issued":{"date-parts":[["2017"]]},"number-of-pages":"260","publisher":"Kencana Prenadamedia Grup","publisher-place":"Jakarta","title":"Penelitian Hukum","type":"book"},"uris":["http://www.mendeley.com/documents/?uuid=e6922874-032a-4104-ac7e-f5ddc751f628"]}],"mendeley":{"formattedCitation":"Peter Mahmud Marzuki, &lt;i&gt;Penelitian Hukum&lt;/i&gt;, Edisi Revi (Jakarta: Kencana Prenadamedia Grup, 2017).","plainTextFormattedCitation":"Peter Mahmud Marzuki, Penelitian Hukum, Edisi Revi (Jakarta: Kencana Prenadamedia Grup, 2017).","previouslyFormattedCitation":"Peter Mahmud Marzuki, &lt;i&gt;Penelitian Hukum&lt;/i&gt;, Edisi Revi (Jakarta: Kencana Prenadamedia Grup, 2017)."},"properties":{"noteIndex":12},"schema":"https://github.com/citation-style-language/schema/raw/master/csl-citation.json"}</w:instrText>
      </w:r>
      <w:r w:rsidRPr="006E05AF">
        <w:rPr>
          <w:rFonts w:cs="Cambria"/>
        </w:rPr>
        <w:fldChar w:fldCharType="separate"/>
      </w:r>
      <w:r w:rsidRPr="006E05AF">
        <w:rPr>
          <w:rFonts w:cs="Cambria"/>
          <w:noProof/>
        </w:rPr>
        <w:t xml:space="preserve">Peter Mahmud Marzuki, </w:t>
      </w:r>
      <w:r w:rsidRPr="006E05AF">
        <w:rPr>
          <w:rFonts w:cs="Cambria"/>
          <w:i/>
          <w:noProof/>
        </w:rPr>
        <w:t>Penelitian Hukum</w:t>
      </w:r>
      <w:r w:rsidRPr="006E05AF">
        <w:rPr>
          <w:rFonts w:cs="Cambria"/>
          <w:noProof/>
        </w:rPr>
        <w:t>, Edisi Revi (Jakarta: Kencana Prenadamedia Grup, 2017).</w:t>
      </w:r>
      <w:r w:rsidRPr="006E05AF">
        <w:rPr>
          <w:rFonts w:cs="Cambria"/>
        </w:rPr>
        <w:fldChar w:fldCharType="end"/>
      </w:r>
    </w:p>
  </w:footnote>
  <w:footnote w:id="14">
    <w:p w14:paraId="4981CCFC" w14:textId="77777777" w:rsidR="00933836" w:rsidRPr="006E05AF" w:rsidRDefault="00933836"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D03B9D" w:rsidRPr="006E05AF">
        <w:rPr>
          <w:rFonts w:cs="Cambria"/>
        </w:rPr>
        <w:instrText>ADDIN CSL_CITATION {"citationItems":[{"id":"ITEM-1","itemData":{"ISBN":"9786027985162","author":[{"dropping-particle":"","family":"Peter Mahmud Marzuki","given":"","non-dropping-particle":"","parse-names":false,"suffix":""}],"edition":"Edisi Revi","id":"ITEM-1","issued":{"date-parts":[["2017"]]},"number-of-pages":"260","publisher":"Kencana Prenadamedia Grup","publisher-place":"Jakarta","title":"Penelitian Hukum","type":"book"},"uris":["http://www.mendeley.com/documents/?uuid=e6922874-032a-4104-ac7e-f5ddc751f628"]}],"mendeley":{"formattedCitation":"Peter Mahmud Marzuki.","plainTextFormattedCitation":"Peter Mahmud Marzuki.","previouslyFormattedCitation":"Peter Mahmud Marzuki."},"properties":{"noteIndex":13},"schema":"https://github.com/citation-style-language/schema/raw/master/csl-citation.json"}</w:instrText>
      </w:r>
      <w:r w:rsidRPr="006E05AF">
        <w:rPr>
          <w:rFonts w:cs="Cambria"/>
        </w:rPr>
        <w:fldChar w:fldCharType="separate"/>
      </w:r>
      <w:r w:rsidRPr="006E05AF">
        <w:rPr>
          <w:rFonts w:cs="Cambria"/>
          <w:noProof/>
        </w:rPr>
        <w:t>Peter Mahmud Marzuki.</w:t>
      </w:r>
      <w:r w:rsidRPr="006E05AF">
        <w:rPr>
          <w:rFonts w:cs="Cambria"/>
        </w:rPr>
        <w:fldChar w:fldCharType="end"/>
      </w:r>
    </w:p>
  </w:footnote>
  <w:footnote w:id="15">
    <w:p w14:paraId="13A1C108" w14:textId="77777777" w:rsidR="00D03B9D" w:rsidRPr="006E05AF" w:rsidRDefault="00D03B9D"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Pr="006E05AF">
        <w:rPr>
          <w:rFonts w:cs="Cambria"/>
        </w:rPr>
        <w:instrText>ADDIN CSL_CITATION {"citationItems":[{"id":"ITEM-1","itemData":{"ISSN":"2964-4623","author":[{"dropping-particle":"","family":"Waliden","given":"Ibnu Alwaton Surya","non-dropping-particle":"","parse-names":false,"suffix":""},{"dropping-particle":"","family":"Maulida","given":"Selvia Fitri","non-dropping-particle":"","parse-names":false,"suffix":""},{"dropping-particle":"","family":"Rachmatulloh","given":"Mochammad Agus","non-dropping-particle":"","parse-names":false,"suffix":""}],"container-title":"Verfassung: Jurnal Hukum Tata Negara","id":"ITEM-1","issue":"2","issued":{"date-parts":[["2022"]]},"page":"123-142","title":"Tinjauan Asas Equalty Before the Law terhadap Penegakan Hukum di Indonesia","type":"article-journal","volume":"1"},"uris":["http://www.mendeley.com/documents/?uuid=5625eceb-b920-4dd6-92ac-2b4a4684e5f3"]}],"mendeley":{"formattedCitation":"Ibnu Alwaton Surya Waliden, Selvia Fitri Maulida, and Mochammad Agus Rachmatulloh, “Tinjauan Asas Equalty Before the Law Terhadap Penegakan Hukum Di Indonesia,” &lt;i&gt;Verfassung: Jurnal Hukum Tata Negara&lt;/i&gt; 1, no. 2 (2022): 123–42.","plainTextFormattedCitation":"Ibnu Alwaton Surya Waliden, Selvia Fitri Maulida, and Mochammad Agus Rachmatulloh, “Tinjauan Asas Equalty Before the Law Terhadap Penegakan Hukum Di Indonesia,” Verfassung: Jurnal Hukum Tata Negara 1, no. 2 (2022): 123–42.","previouslyFormattedCitation":"Ibnu Alwaton Surya Waliden, Selvia Fitri Maulida, and Mochammad Agus Rachmatulloh, “Tinjauan Asas Equalty Before the Law Terhadap Penegakan Hukum Di Indonesia,” &lt;i&gt;Verfassung: Jurnal Hukum Tata Negara&lt;/i&gt; 1, no. 2 (2022): 123–42."},"properties":{"noteIndex":14},"schema":"https://github.com/citation-style-language/schema/raw/master/csl-citation.json"}</w:instrText>
      </w:r>
      <w:r w:rsidRPr="006E05AF">
        <w:rPr>
          <w:rFonts w:cs="Cambria"/>
        </w:rPr>
        <w:fldChar w:fldCharType="separate"/>
      </w:r>
      <w:r w:rsidRPr="006E05AF">
        <w:rPr>
          <w:rFonts w:cs="Cambria"/>
          <w:noProof/>
        </w:rPr>
        <w:t xml:space="preserve">Ibnu Alwaton Surya Waliden, Selvia Fitri Maulida, and Mochammad Agus Rachmatulloh, “Tinjauan Asas Equalty Before the Law Terhadap Penegakan Hukum Di Indonesia,” </w:t>
      </w:r>
      <w:r w:rsidRPr="006E05AF">
        <w:rPr>
          <w:rFonts w:cs="Cambria"/>
          <w:i/>
          <w:noProof/>
        </w:rPr>
        <w:t>Verfassung: Jurnal Hukum Tata Negara</w:t>
      </w:r>
      <w:r w:rsidRPr="006E05AF">
        <w:rPr>
          <w:rFonts w:cs="Cambria"/>
          <w:noProof/>
        </w:rPr>
        <w:t xml:space="preserve"> 1, no. 2 (2022): 123–42.</w:t>
      </w:r>
      <w:r w:rsidRPr="006E05AF">
        <w:rPr>
          <w:rFonts w:cs="Cambria"/>
        </w:rPr>
        <w:fldChar w:fldCharType="end"/>
      </w:r>
    </w:p>
  </w:footnote>
  <w:footnote w:id="16">
    <w:p w14:paraId="3F770F72" w14:textId="77777777" w:rsidR="00D03B9D" w:rsidRPr="006E05AF" w:rsidRDefault="00D03B9D"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0D5CBA" w:rsidRPr="006E05AF">
        <w:rPr>
          <w:rFonts w:cs="Cambria"/>
        </w:rPr>
        <w:instrText>ADDIN CSL_CITATION {"citationItems":[{"id":"ITEM-1","itemData":{"ISSN":"1475-4835","author":[{"dropping-particle":"","family":"Englehart","given":"Neil A","non-dropping-particle":"","parse-names":false,"suffix":""},{"dropping-particle":"","family":"Miller","given":"Melissa K","non-dropping-particle":"","parse-names":false,"suffix":""}],"container-title":"Journal of Human Rights","id":"ITEM-1","issue":"1","issued":{"date-parts":[["2014"]]},"page":"22-47","publisher":"Taylor &amp; Francis","title":"The CEDAW effect: international law's impact on women's rights","type":"article-journal","volume":"13"},"uris":["http://www.mendeley.com/documents/?uuid=b780472f-4a98-4f1b-a781-f0cce3f7f2b0"]}],"mendeley":{"formattedCitation":"Neil A Englehart and Melissa K Miller, “The CEDAW Effect: International Law’s Impact on Women’s Rights,” &lt;i&gt;Journal of Human Rights&lt;/i&gt; 13, no. 1 (2014): 22–47.","plainTextFormattedCitation":"Neil A Englehart and Melissa K Miller, “The CEDAW Effect: International Law’s Impact on Women’s Rights,” Journal of Human Rights 13, no. 1 (2014): 22–47.","previouslyFormattedCitation":"Neil A Englehart and Melissa K Miller, “The CEDAW Effect: International Law’s Impact on Women’s Rights,” &lt;i&gt;Journal of Human Rights&lt;/i&gt; 13, no. 1 (2014): 22–47."},"properties":{"noteIndex":15},"schema":"https://github.com/citation-style-language/schema/raw/master/csl-citation.json"}</w:instrText>
      </w:r>
      <w:r w:rsidRPr="006E05AF">
        <w:rPr>
          <w:rFonts w:cs="Cambria"/>
        </w:rPr>
        <w:fldChar w:fldCharType="separate"/>
      </w:r>
      <w:r w:rsidRPr="006E05AF">
        <w:rPr>
          <w:rFonts w:cs="Cambria"/>
          <w:noProof/>
        </w:rPr>
        <w:t xml:space="preserve">Neil A Englehart and Melissa K Miller, “The CEDAW Effect: International Law’s Impact on Women’s Rights,” </w:t>
      </w:r>
      <w:r w:rsidRPr="006E05AF">
        <w:rPr>
          <w:rFonts w:cs="Cambria"/>
          <w:i/>
          <w:noProof/>
        </w:rPr>
        <w:t>Journal of Human Rights</w:t>
      </w:r>
      <w:r w:rsidRPr="006E05AF">
        <w:rPr>
          <w:rFonts w:cs="Cambria"/>
          <w:noProof/>
        </w:rPr>
        <w:t xml:space="preserve"> 13, no. 1 (2014): 22–47.</w:t>
      </w:r>
      <w:r w:rsidRPr="006E05AF">
        <w:rPr>
          <w:rFonts w:cs="Cambria"/>
        </w:rPr>
        <w:fldChar w:fldCharType="end"/>
      </w:r>
    </w:p>
  </w:footnote>
  <w:footnote w:id="17">
    <w:p w14:paraId="55986373" w14:textId="77777777" w:rsidR="005058F1" w:rsidRPr="006E05AF" w:rsidRDefault="005058F1"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D03B9D" w:rsidRPr="006E05AF">
        <w:rPr>
          <w:rFonts w:cs="Cambria"/>
        </w:rPr>
        <w:instrText>ADDIN CSL_CITATION {"citationItems":[{"id":"ITEM-1","itemData":{"author":[{"dropping-particle":"","family":"Women","given":"U N","non-dropping-particle":"","parse-names":false,"suffix":""}],"id":"ITEM-1","issued":{"date-parts":[["1979"]]},"publisher":"Office of the United Nations High Commissioner for Human Rights","title":"Convention on the elimination of all forms of discrimination against women","type":"article"},"uris":["http://www.mendeley.com/documents/?uuid=dda5796e-dfd6-4f4d-a7cc-7e7309588db7"]}],"mendeley":{"formattedCitation":"U N Women, “Convention on the Elimination of All Forms of Discrimination against Women” (Office of the United Nations High Commissioner for Human Rights, 1979).","plainTextFormattedCitation":"U N Women, “Convention on the Elimination of All Forms of Discrimination against Women” (Office of the United Nations High Commissioner for Human Rights, 1979).","previouslyFormattedCitation":"U N Women, “Convention on the Elimination of All Forms of Discrimination against Women” (Office of the United Nations High Commissioner for Human Rights, 1979)."},"properties":{"noteIndex":16},"schema":"https://github.com/citation-style-language/schema/raw/master/csl-citation.json"}</w:instrText>
      </w:r>
      <w:r w:rsidRPr="006E05AF">
        <w:rPr>
          <w:rFonts w:cs="Cambria"/>
        </w:rPr>
        <w:fldChar w:fldCharType="separate"/>
      </w:r>
      <w:r w:rsidRPr="006E05AF">
        <w:rPr>
          <w:rFonts w:cs="Cambria"/>
          <w:noProof/>
        </w:rPr>
        <w:t>U N Women, “Convention on the Elimination of All Forms of Discrimination against Women” (Office of the United Nations High Commissioner for Human Rights, 1979).</w:t>
      </w:r>
      <w:r w:rsidRPr="006E05AF">
        <w:rPr>
          <w:rFonts w:cs="Cambria"/>
        </w:rPr>
        <w:fldChar w:fldCharType="end"/>
      </w:r>
    </w:p>
  </w:footnote>
  <w:footnote w:id="18">
    <w:p w14:paraId="522C2737" w14:textId="77777777" w:rsidR="000D5CBA" w:rsidRPr="006E05AF" w:rsidRDefault="000D5CBA"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Pr="006E05AF">
        <w:rPr>
          <w:rFonts w:cs="Cambria"/>
        </w:rPr>
        <w:instrText>ADDIN CSL_CITATION {"citationItems":[{"id":"ITEM-1","itemData":{"ISSN":"2622-7045","author":[{"dropping-particle":"","family":"Attamimi","given":"Fahim","non-dropping-particle":"","parse-names":false,"suffix":""},{"dropping-particle":"","family":"Tanudjaja","given":"Tanudjaja","non-dropping-particle":"","parse-names":false,"suffix":""}],"container-title":"UNES Law Review","id":"ITEM-1","issue":"4","issued":{"date-parts":[["2024"]]},"page":"12134-12141","title":"Pemenuhan Hak Restitusi Bagi Anak Korban Kekerasan Seksual","type":"article-journal","volume":"6"},"uris":["http://www.mendeley.com/documents/?uuid=cc7f146f-ccd3-453c-91ee-56c2b5f40592"]}],"mendeley":{"formattedCitation":"Fahim Attamimi and Tanudjaja Tanudjaja, “Pemenuhan Hak Restitusi Bagi Anak Korban Kekerasan Seksual,” &lt;i&gt;UNES Law Review&lt;/i&gt; 6, no. 4 (2024): 12134–41.","plainTextFormattedCitation":"Fahim Attamimi and Tanudjaja Tanudjaja, “Pemenuhan Hak Restitusi Bagi Anak Korban Kekerasan Seksual,” UNES Law Review 6, no. 4 (2024): 12134–41.","previouslyFormattedCitation":"Fahim Attamimi and Tanudjaja Tanudjaja, “Pemenuhan Hak Restitusi Bagi Anak Korban Kekerasan Seksual,” &lt;i&gt;UNES Law Review&lt;/i&gt; 6, no. 4 (2024): 12134–41."},"properties":{"noteIndex":17},"schema":"https://github.com/citation-style-language/schema/raw/master/csl-citation.json"}</w:instrText>
      </w:r>
      <w:r w:rsidRPr="006E05AF">
        <w:rPr>
          <w:rFonts w:cs="Cambria"/>
        </w:rPr>
        <w:fldChar w:fldCharType="separate"/>
      </w:r>
      <w:r w:rsidRPr="006E05AF">
        <w:rPr>
          <w:rFonts w:cs="Cambria"/>
          <w:noProof/>
        </w:rPr>
        <w:t xml:space="preserve">Fahim Attamimi and Tanudjaja Tanudjaja, “Pemenuhan Hak Restitusi Bagi Anak Korban Kekerasan Seksual,” </w:t>
      </w:r>
      <w:r w:rsidRPr="006E05AF">
        <w:rPr>
          <w:rFonts w:cs="Cambria"/>
          <w:i/>
          <w:noProof/>
        </w:rPr>
        <w:t>UNES Law Review</w:t>
      </w:r>
      <w:r w:rsidRPr="006E05AF">
        <w:rPr>
          <w:rFonts w:cs="Cambria"/>
          <w:noProof/>
        </w:rPr>
        <w:t xml:space="preserve"> 6, no. 4 (2024): 12134–41.</w:t>
      </w:r>
      <w:r w:rsidRPr="006E05AF">
        <w:rPr>
          <w:rFonts w:cs="Cambria"/>
        </w:rPr>
        <w:fldChar w:fldCharType="end"/>
      </w:r>
    </w:p>
  </w:footnote>
  <w:footnote w:id="19">
    <w:p w14:paraId="02E94D2A" w14:textId="77777777" w:rsidR="000D5CBA" w:rsidRPr="006E05AF" w:rsidRDefault="000D5CBA"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465F0A" w:rsidRPr="006E05AF">
        <w:rPr>
          <w:rFonts w:cs="Cambria"/>
        </w:rPr>
        <w:instrText>ADDIN CSL_CITATION {"citationItems":[{"id":"ITEM-1","itemData":{"ISSN":"2541-5417","author":[{"dropping-particle":"","family":"Purnomosidi","given":"Arie","non-dropping-particle":"","parse-names":false,"suffix":""}],"container-title":"Refleksi Hukum: Jurnal Ilmu Hukum","id":"ITEM-1","issue":"2","issued":{"date-parts":[["2017"]]},"page":"161-174","title":"Konsep Perlindungan Hak Konstitusional Penyandang Disabilitas di Indonesia","type":"article-journal","volume":"1"},"uris":["http://www.mendeley.com/documents/?uuid=7a32d2be-830c-4a92-aeff-54b71341b2c8"]}],"mendeley":{"formattedCitation":"Arie Purnomosidi, “Konsep Perlindungan Hak Konstitusional Penyandang Disabilitas Di Indonesia,” &lt;i&gt;Refleksi Hukum: Jurnal Ilmu Hukum&lt;/i&gt; 1, no. 2 (2017): 161–74.","plainTextFormattedCitation":"Arie Purnomosidi, “Konsep Perlindungan Hak Konstitusional Penyandang Disabilitas Di Indonesia,” Refleksi Hukum: Jurnal Ilmu Hukum 1, no. 2 (2017): 161–74.","previouslyFormattedCitation":"Arie Purnomosidi, “Konsep Perlindungan Hak Konstitusional Penyandang Disabilitas Di Indonesia,” &lt;i&gt;Refleksi Hukum: Jurnal Ilmu Hukum&lt;/i&gt; 1, no. 2 (2017): 161–74."},"properties":{"noteIndex":18},"schema":"https://github.com/citation-style-language/schema/raw/master/csl-citation.json"}</w:instrText>
      </w:r>
      <w:r w:rsidRPr="006E05AF">
        <w:rPr>
          <w:rFonts w:cs="Cambria"/>
        </w:rPr>
        <w:fldChar w:fldCharType="separate"/>
      </w:r>
      <w:r w:rsidRPr="006E05AF">
        <w:rPr>
          <w:rFonts w:cs="Cambria"/>
          <w:noProof/>
        </w:rPr>
        <w:t xml:space="preserve">Arie Purnomosidi, “Konsep Perlindungan Hak Konstitusional Penyandang Disabilitas Di Indonesia,” </w:t>
      </w:r>
      <w:r w:rsidRPr="006E05AF">
        <w:rPr>
          <w:rFonts w:cs="Cambria"/>
          <w:i/>
          <w:noProof/>
        </w:rPr>
        <w:t>Refleksi Hukum: Jurnal Ilmu Hukum</w:t>
      </w:r>
      <w:r w:rsidRPr="006E05AF">
        <w:rPr>
          <w:rFonts w:cs="Cambria"/>
          <w:noProof/>
        </w:rPr>
        <w:t xml:space="preserve"> 1, no. 2 (2017): 161–74.</w:t>
      </w:r>
      <w:r w:rsidRPr="006E05AF">
        <w:rPr>
          <w:rFonts w:cs="Cambria"/>
        </w:rPr>
        <w:fldChar w:fldCharType="end"/>
      </w:r>
    </w:p>
  </w:footnote>
  <w:footnote w:id="20">
    <w:p w14:paraId="4B41F21D" w14:textId="77777777" w:rsidR="00465F0A" w:rsidRPr="006E05AF" w:rsidRDefault="00465F0A"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6D671C" w:rsidRPr="006E05AF">
        <w:rPr>
          <w:rFonts w:cs="Cambria"/>
        </w:rPr>
        <w:instrText>ADDIN CSL_CITATION {"citationItems":[{"id":"ITEM-1","itemData":{"ISSN":"2828-1683","author":[{"dropping-particle":"","family":"Syafiqoti","given":"Enggal Aflah","non-dropping-particle":"","parse-names":false,"suffix":""},{"dropping-particle":"","family":"Hadiati","given":"Teti","non-dropping-particle":"","parse-names":false,"suffix":""}],"container-title":"Manabia: Journal of Constitutional Law","id":"ITEM-1","issue":"02","issued":{"date-parts":[["2023"]]},"page":"257-268","title":"Pemenuhan hak aksesibilitas penyandang disabilitas dalam pelayanan hukum","type":"article-journal","volume":"3"},"uris":["http://www.mendeley.com/documents/?uuid=3b991bb3-214e-4c2b-917c-df34d8b29b73"]}],"mendeley":{"formattedCitation":"Enggal Aflah Syafiqoti and Teti Hadiati, “Pemenuhan Hak Aksesibilitas Penyandang Disabilitas Dalam Pelayanan Hukum,” &lt;i&gt;Manabia: Journal of Constitutional Law&lt;/i&gt; 3, no. 02 (2023): 257–68.","plainTextFormattedCitation":"Enggal Aflah Syafiqoti and Teti Hadiati, “Pemenuhan Hak Aksesibilitas Penyandang Disabilitas Dalam Pelayanan Hukum,” Manabia: Journal of Constitutional Law 3, no. 02 (2023): 257–68.","previouslyFormattedCitation":"Enggal Aflah Syafiqoti and Teti Hadiati, “Pemenuhan Hak Aksesibilitas Penyandang Disabilitas Dalam Pelayanan Hukum,” &lt;i&gt;Manabia: Journal of Constitutional Law&lt;/i&gt; 3, no. 02 (2023): 257–68."},"properties":{"noteIndex":19},"schema":"https://github.com/citation-style-language/schema/raw/master/csl-citation.json"}</w:instrText>
      </w:r>
      <w:r w:rsidRPr="006E05AF">
        <w:rPr>
          <w:rFonts w:cs="Cambria"/>
        </w:rPr>
        <w:fldChar w:fldCharType="separate"/>
      </w:r>
      <w:r w:rsidRPr="006E05AF">
        <w:rPr>
          <w:rFonts w:cs="Cambria"/>
          <w:noProof/>
        </w:rPr>
        <w:t xml:space="preserve">Enggal Aflah Syafiqoti and Teti Hadiati, “Pemenuhan Hak Aksesibilitas Penyandang Disabilitas Dalam Pelayanan Hukum,” </w:t>
      </w:r>
      <w:r w:rsidRPr="006E05AF">
        <w:rPr>
          <w:rFonts w:cs="Cambria"/>
          <w:i/>
          <w:noProof/>
        </w:rPr>
        <w:t>Manabia: Journal of Constitutional Law</w:t>
      </w:r>
      <w:r w:rsidRPr="006E05AF">
        <w:rPr>
          <w:rFonts w:cs="Cambria"/>
          <w:noProof/>
        </w:rPr>
        <w:t xml:space="preserve"> 3, no. 02 (2023): 257–68.</w:t>
      </w:r>
      <w:r w:rsidRPr="006E05AF">
        <w:rPr>
          <w:rFonts w:cs="Cambria"/>
        </w:rPr>
        <w:fldChar w:fldCharType="end"/>
      </w:r>
    </w:p>
  </w:footnote>
  <w:footnote w:id="21">
    <w:p w14:paraId="3BF222AC" w14:textId="77777777" w:rsidR="006D671C" w:rsidRPr="006E05AF" w:rsidRDefault="006D671C"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Pr="006E05AF">
        <w:rPr>
          <w:rFonts w:cs="Cambria"/>
        </w:rPr>
        <w:instrText>ADDIN CSL_CITATION {"citationItems":[{"id":"ITEM-1","itemData":{"ISBN":"1786439697","author":[{"dropping-particle":"","family":"Chen","given":"Chao-ju","non-dropping-particle":"","parse-names":false,"suffix":""}],"container-title":"Research Handbook on Feminist Jurisprudence","id":"ITEM-1","issued":{"date-parts":[["2019"]]},"page":"44-64","publisher":"Edward Elgar Publishing","title":"Catharine A. MacKinnon and equality theory","type":"chapter"},"uris":["http://www.mendeley.com/documents/?uuid=6d09da12-9ea3-4a74-acea-b890872f836a"]}],"mendeley":{"formattedCitation":"Chao-ju Chen, “Catharine A. MacKinnon and Equality Theory,” in &lt;i&gt;Research Handbook on Feminist Jurisprudence&lt;/i&gt; (Edward Elgar Publishing, 2019), 44–64.","plainTextFormattedCitation":"Chao-ju Chen, “Catharine A. MacKinnon and Equality Theory,” in Research Handbook on Feminist Jurisprudence (Edward Elgar Publishing, 2019), 44–64.","previouslyFormattedCitation":"Chao-ju Chen, “Catharine A. MacKinnon and Equality Theory,” in &lt;i&gt;Research Handbook on Feminist Jurisprudence&lt;/i&gt; (Edward Elgar Publishing, 2019), 44–64."},"properties":{"noteIndex":20},"schema":"https://github.com/citation-style-language/schema/raw/master/csl-citation.json"}</w:instrText>
      </w:r>
      <w:r w:rsidRPr="006E05AF">
        <w:rPr>
          <w:rFonts w:cs="Cambria"/>
        </w:rPr>
        <w:fldChar w:fldCharType="separate"/>
      </w:r>
      <w:r w:rsidRPr="006E05AF">
        <w:rPr>
          <w:rFonts w:cs="Cambria"/>
          <w:noProof/>
        </w:rPr>
        <w:t xml:space="preserve">Chao-ju Chen, “Catharine A. MacKinnon and Equality Theory,” in </w:t>
      </w:r>
      <w:r w:rsidRPr="006E05AF">
        <w:rPr>
          <w:rFonts w:cs="Cambria"/>
          <w:i/>
          <w:noProof/>
        </w:rPr>
        <w:t>Research Handbook on Feminist Jurisprudence</w:t>
      </w:r>
      <w:r w:rsidRPr="006E05AF">
        <w:rPr>
          <w:rFonts w:cs="Cambria"/>
          <w:noProof/>
        </w:rPr>
        <w:t xml:space="preserve"> (Edward Elgar Publishing, 2019), 44–64.</w:t>
      </w:r>
      <w:r w:rsidRPr="006E05AF">
        <w:rPr>
          <w:rFonts w:cs="Cambria"/>
        </w:rPr>
        <w:fldChar w:fldCharType="end"/>
      </w:r>
    </w:p>
  </w:footnote>
  <w:footnote w:id="22">
    <w:p w14:paraId="5328ECB0" w14:textId="77777777" w:rsidR="001072E2" w:rsidRPr="006E05AF" w:rsidRDefault="001072E2"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6D671C" w:rsidRPr="006E05AF">
        <w:rPr>
          <w:rFonts w:cs="Cambria"/>
        </w:rPr>
        <w:instrText>ADDIN CSL_CITATION {"citationItems":[{"id":"ITEM-1","itemData":{"URL":"https://komnasperempuan.go.id/catatan-tahunan-detail/catahu-2025-menguatkan-data-mengatasi-kerentanan-mendesak-negara-bersikap-untuk-keadilan-korban","author":[{"dropping-particle":"","family":"Perempuan","given":"Komnas","non-dropping-particle":"","parse-names":false,"suffix":""}],"id":"ITEM-1","issued":{"date-parts":[["2026"]]},"title":"CATAHU 2025: Menguatkan Data, Mengatasi Kerentanan, Mendesak Negara Bersikap Untuk Keadilan Korban","type":"webpage"},"uris":["http://www.mendeley.com/documents/?uuid=4b0ff540-c802-4828-b35a-11686667bb27"]}],"mendeley":{"formattedCitation":"Perempuan, “CATAHU 2025: Menguatkan Data, Mengatasi Kerentanan, Mendesak Negara Bersikap Untuk Keadilan Korban.”","plainTextFormattedCitation":"Perempuan, “CATAHU 2025: Menguatkan Data, Mengatasi Kerentanan, Mendesak Negara Bersikap Untuk Keadilan Korban.”","previouslyFormattedCitation":"Perempuan, “CATAHU 2025: Menguatkan Data, Mengatasi Kerentanan, Mendesak Negara Bersikap Untuk Keadilan Korban.”"},"properties":{"noteIndex":21},"schema":"https://github.com/citation-style-language/schema/raw/master/csl-citation.json"}</w:instrText>
      </w:r>
      <w:r w:rsidRPr="006E05AF">
        <w:rPr>
          <w:rFonts w:cs="Cambria"/>
        </w:rPr>
        <w:fldChar w:fldCharType="separate"/>
      </w:r>
      <w:r w:rsidRPr="006E05AF">
        <w:rPr>
          <w:rFonts w:cs="Cambria"/>
          <w:noProof/>
        </w:rPr>
        <w:t>Perempuan, “CATAHU 2025: Menguatkan Data, Mengatasi Kerentanan, Mendesak Negara Bersikap Untuk Keadilan Korban.”</w:t>
      </w:r>
      <w:r w:rsidRPr="006E05AF">
        <w:rPr>
          <w:rFonts w:cs="Cambria"/>
        </w:rPr>
        <w:fldChar w:fldCharType="end"/>
      </w:r>
    </w:p>
  </w:footnote>
  <w:footnote w:id="23">
    <w:p w14:paraId="640CEB5C" w14:textId="77777777" w:rsidR="006D671C" w:rsidRPr="006E05AF" w:rsidRDefault="006D671C"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032B68" w:rsidRPr="006E05AF">
        <w:rPr>
          <w:rFonts w:cs="Cambria"/>
        </w:rPr>
        <w:instrText>ADDIN CSL_CITATION {"citationItems":[{"id":"ITEM-1","itemData":{"author":[{"dropping-particle":"","family":"Crenshaw","given":"Kimberlé","non-dropping-particle":"","parse-names":false,"suffix":""}],"container-title":"Contemporary sociological theory","id":"ITEM-1","issue":"354","issued":{"date-parts":[["2022"]]},"page":"0","publisher":"John Wiley &amp; Sons","title":"Demarginalizing the intersection of race and sex: A black feminist critique of antidiscrimination doctrine, feminist theory and antiracist politics [1989]","type":"article-journal","volume":"1"},"uris":["http://www.mendeley.com/documents/?uuid=5b0f4f48-72c3-4f61-90e6-726bfd9e614c"]}],"mendeley":{"formattedCitation":"Kimberlé Crenshaw, “Demarginalizing the Intersection of Race and Sex: A Black Feminist Critique of Antidiscrimination Doctrine, Feminist Theory and Antiracist Politics [1989],” &lt;i&gt;Contemporary Sociological Theory&lt;/i&gt; 1, no. 354 (2022): 0.","plainTextFormattedCitation":"Kimberlé Crenshaw, “Demarginalizing the Intersection of Race and Sex: A Black Feminist Critique of Antidiscrimination Doctrine, Feminist Theory and Antiracist Politics [1989],” Contemporary Sociological Theory 1, no. 354 (2022): 0.","previouslyFormattedCitation":"Kimberlé Crenshaw, “Demarginalizing the Intersection of Race and Sex: A Black Feminist Critique of Antidiscrimination Doctrine, Feminist Theory and Antiracist Politics [1989],” &lt;i&gt;Contemporary Sociological Theory&lt;/i&gt; 1, no. 354 (2022): 0."},"properties":{"noteIndex":22},"schema":"https://github.com/citation-style-language/schema/raw/master/csl-citation.json"}</w:instrText>
      </w:r>
      <w:r w:rsidRPr="006E05AF">
        <w:rPr>
          <w:rFonts w:cs="Cambria"/>
        </w:rPr>
        <w:fldChar w:fldCharType="separate"/>
      </w:r>
      <w:r w:rsidRPr="006E05AF">
        <w:rPr>
          <w:rFonts w:cs="Cambria"/>
          <w:noProof/>
        </w:rPr>
        <w:t xml:space="preserve">Kimberlé Crenshaw, “Demarginalizing the Intersection of Race and Sex: A Black Feminist Critique of Antidiscrimination Doctrine, Feminist Theory and Antiracist Politics [1989],” </w:t>
      </w:r>
      <w:r w:rsidRPr="006E05AF">
        <w:rPr>
          <w:rFonts w:cs="Cambria"/>
          <w:i/>
          <w:noProof/>
        </w:rPr>
        <w:t>Contemporary Sociological Theory</w:t>
      </w:r>
      <w:r w:rsidRPr="006E05AF">
        <w:rPr>
          <w:rFonts w:cs="Cambria"/>
          <w:noProof/>
        </w:rPr>
        <w:t xml:space="preserve"> 1, no. 354 (2022): 0.</w:t>
      </w:r>
      <w:r w:rsidRPr="006E05AF">
        <w:rPr>
          <w:rFonts w:cs="Cambria"/>
        </w:rPr>
        <w:fldChar w:fldCharType="end"/>
      </w:r>
    </w:p>
  </w:footnote>
  <w:footnote w:id="24">
    <w:p w14:paraId="5EAE16F1" w14:textId="77777777" w:rsidR="00032B68" w:rsidRPr="006E05AF" w:rsidRDefault="00032B68"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B53016" w:rsidRPr="006E05AF">
        <w:rPr>
          <w:rFonts w:cs="Cambria"/>
        </w:rPr>
        <w:instrText>ADDIN CSL_CITATION {"citationItems":[{"id":"ITEM-1","itemData":{"DOI":"https://doi.org/10.14710/mmh.52.1.2023.42-51","ISSN":"2527-4716","author":[{"dropping-particle":"","family":"Agustanti","given":"Rosalia Dika","non-dropping-particle":"","parse-names":false,"suffix":""},{"dropping-particle":"","family":"Waluyo","given":"Bambang","non-dropping-particle":"","parse-names":false,"suffix":""}],"container-title":"Masalah-Masalah Hukum","id":"ITEM-1","issue":"1","issued":{"date-parts":[["0"]]},"page":"42-51","title":"Konsep Sistem Peradilan Pidana Khusus Perempuan Korban Kekerasan","type":"article-journal","volume":"52"},"uris":["http://www.mendeley.com/documents/?uuid=ffef572f-09d1-4da9-9a6b-26f0da4e34a4"]}],"mendeley":{"formattedCitation":"Rosalia Dika Agustanti and Bambang Waluyo, “Konsep Sistem Peradilan Pidana Khusus Perempuan Korban Kekerasan,” &lt;i&gt;Masalah-Masalah Hukum&lt;/i&gt; 52, no. 1 (n.d.): 42–51, https://doi.org/https://doi.org/10.14710/mmh.52.1.2023.42-51.","plainTextFormattedCitation":"Rosalia Dika Agustanti and Bambang Waluyo, “Konsep Sistem Peradilan Pidana Khusus Perempuan Korban Kekerasan,” Masalah-Masalah Hukum 52, no. 1 (n.d.): 42–51, https://doi.org/https://doi.org/10.14710/mmh.52.1.2023.42-51.","previouslyFormattedCitation":"Rosalia Dika Agustanti and Bambang Waluyo, “Konsep Sistem Peradilan Pidana Khusus Perempuan Korban Kekerasan,” &lt;i&gt;Masalah-Masalah Hukum&lt;/i&gt; 52, no. 1 (n.d.): 42–51, https://doi.org/https://doi.org/10.14710/mmh.52.1.2023.42-51."},"properties":{"noteIndex":23},"schema":"https://github.com/citation-style-language/schema/raw/master/csl-citation.json"}</w:instrText>
      </w:r>
      <w:r w:rsidRPr="006E05AF">
        <w:rPr>
          <w:rFonts w:cs="Cambria"/>
        </w:rPr>
        <w:fldChar w:fldCharType="separate"/>
      </w:r>
      <w:r w:rsidRPr="006E05AF">
        <w:rPr>
          <w:rFonts w:cs="Cambria"/>
          <w:noProof/>
        </w:rPr>
        <w:t xml:space="preserve">Rosalia Dika Agustanti and Bambang Waluyo, “Konsep Sistem Peradilan Pidana Khusus Perempuan Korban Kekerasan,” </w:t>
      </w:r>
      <w:r w:rsidRPr="006E05AF">
        <w:rPr>
          <w:rFonts w:cs="Cambria"/>
          <w:i/>
          <w:noProof/>
        </w:rPr>
        <w:t>Masalah-Masalah Hukum</w:t>
      </w:r>
      <w:r w:rsidRPr="006E05AF">
        <w:rPr>
          <w:rFonts w:cs="Cambria"/>
          <w:noProof/>
        </w:rPr>
        <w:t xml:space="preserve"> 52, no. 1 (n.d.): 42–51, https://doi.org/10.14710/mmh.52.1.2023.42-51.</w:t>
      </w:r>
      <w:r w:rsidRPr="006E05AF">
        <w:rPr>
          <w:rFonts w:cs="Cambria"/>
        </w:rPr>
        <w:fldChar w:fldCharType="end"/>
      </w:r>
    </w:p>
  </w:footnote>
  <w:footnote w:id="25">
    <w:p w14:paraId="57B2F251" w14:textId="77777777" w:rsidR="00B53016" w:rsidRPr="006E05AF" w:rsidRDefault="00B53016"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Pr="006E05AF">
        <w:rPr>
          <w:rFonts w:cs="Cambria"/>
        </w:rPr>
        <w:instrText>ADDIN CSL_CITATION {"citationItems":[{"id":"ITEM-1","itemData":{"ISBN":"9791486468","author":[{"dropping-particle":"","family":"Arief","given":"Barda Nawawi","non-dropping-particle":"","parse-names":false,"suffix":""}],"id":"ITEM-1","issued":{"date-parts":[["2016"]]},"publisher":"Prenada Media","title":"Bunga rampai kebijakan hukum pidana","type":"book"},"uris":["http://www.mendeley.com/documents/?uuid=d03be180-ae7e-4659-ad5c-d2ccf5e5782a"]}],"mendeley":{"formattedCitation":"Arief, &lt;i&gt;Bunga Rampai Kebijakan Hukum Pidana&lt;/i&gt;.","plainTextFormattedCitation":"Arief, Bunga Rampai Kebijakan Hukum Pidana."},"properties":{"noteIndex":24},"schema":"https://github.com/citation-style-language/schema/raw/master/csl-citation.json"}</w:instrText>
      </w:r>
      <w:r w:rsidRPr="006E05AF">
        <w:rPr>
          <w:rFonts w:cs="Cambria"/>
        </w:rPr>
        <w:fldChar w:fldCharType="separate"/>
      </w:r>
      <w:r w:rsidRPr="006E05AF">
        <w:rPr>
          <w:rFonts w:cs="Cambria"/>
          <w:noProof/>
        </w:rPr>
        <w:t xml:space="preserve">Arief, </w:t>
      </w:r>
      <w:r w:rsidRPr="006E05AF">
        <w:rPr>
          <w:rFonts w:cs="Cambria"/>
          <w:i/>
          <w:noProof/>
        </w:rPr>
        <w:t>Bunga Rampai Kebijakan Hukum Pidana</w:t>
      </w:r>
      <w:r w:rsidRPr="006E05AF">
        <w:rPr>
          <w:rFonts w:cs="Cambria"/>
          <w:noProof/>
        </w:rPr>
        <w:t>.</w:t>
      </w:r>
      <w:r w:rsidRPr="006E05AF">
        <w:rPr>
          <w:rFonts w:cs="Cambria"/>
        </w:rPr>
        <w:fldChar w:fldCharType="end"/>
      </w:r>
    </w:p>
  </w:footnote>
  <w:footnote w:id="26">
    <w:p w14:paraId="0706F44E" w14:textId="77777777" w:rsidR="005058F1" w:rsidRPr="006E05AF" w:rsidRDefault="005058F1" w:rsidP="00337F40">
      <w:pPr>
        <w:pStyle w:val="TeksCatatanKaki"/>
        <w:ind w:firstLine="567"/>
        <w:jc w:val="both"/>
        <w:rPr>
          <w:sz w:val="16"/>
          <w:szCs w:val="16"/>
        </w:rPr>
      </w:pPr>
      <w:r w:rsidRPr="006E05AF">
        <w:rPr>
          <w:rStyle w:val="ReferensiCatatanKaki"/>
          <w:rFonts w:cs="Cambria"/>
        </w:rPr>
        <w:footnoteRef/>
      </w:r>
      <w:r w:rsidRPr="006E05AF">
        <w:rPr>
          <w:rFonts w:cs="Cambria"/>
        </w:rPr>
        <w:t xml:space="preserve"> </w:t>
      </w:r>
      <w:r w:rsidRPr="006E05AF">
        <w:rPr>
          <w:rFonts w:cs="Cambria"/>
        </w:rPr>
        <w:fldChar w:fldCharType="begin" w:fldLock="1"/>
      </w:r>
      <w:r w:rsidR="00B53016" w:rsidRPr="006E05AF">
        <w:rPr>
          <w:rFonts w:cs="Cambria"/>
        </w:rPr>
        <w:instrText>ADDIN CSL_CITATION {"citationItems":[{"id":"ITEM-1","itemData":{"author":[{"dropping-particle":"","family":"Women","given":"U N","non-dropping-particle":"","parse-names":false,"suffix":""}],"id":"ITEM-1","issued":{"date-parts":[["1979"]]},"publisher":"Office of the United Nations High Commissioner for Human Rights","title":"Convention on the elimination of all forms of discrimination against women","type":"article"},"uris":["http://www.mendeley.com/documents/?uuid=dda5796e-dfd6-4f4d-a7cc-7e7309588db7"]}],"mendeley":{"formattedCitation":"Women, “Convention on the Elimination of All Forms of Discrimination against Women.”","plainTextFormattedCitation":"Women, “Convention on the Elimination of All Forms of Discrimination against Women.”","previouslyFormattedCitation":"Women, “Convention on the Elimination of All Forms of Discrimination against Women.”"},"properties":{"noteIndex":25},"schema":"https://github.com/citation-style-language/schema/raw/master/csl-citation.json"}</w:instrText>
      </w:r>
      <w:r w:rsidRPr="006E05AF">
        <w:rPr>
          <w:rFonts w:cs="Cambria"/>
        </w:rPr>
        <w:fldChar w:fldCharType="separate"/>
      </w:r>
      <w:r w:rsidR="001072E2" w:rsidRPr="006E05AF">
        <w:rPr>
          <w:rFonts w:cs="Cambria"/>
          <w:noProof/>
        </w:rPr>
        <w:t>Women, “Convention on the Elimination of All Forms of Discrimination against Women.”</w:t>
      </w:r>
      <w:r w:rsidRPr="006E05AF">
        <w:rPr>
          <w:rFonts w:cs="Cambria"/>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2587E" w14:textId="77777777" w:rsidR="00745495" w:rsidRPr="006E05AF" w:rsidRDefault="00745495" w:rsidP="00745495">
    <w:pPr>
      <w:pStyle w:val="Header"/>
      <w:rPr>
        <w:szCs w:val="24"/>
      </w:rPr>
    </w:pPr>
  </w:p>
  <w:p w14:paraId="4B697EA3" w14:textId="77777777" w:rsidR="00745495" w:rsidRPr="006E05AF" w:rsidRDefault="00745495" w:rsidP="00745495">
    <w:pPr>
      <w:pStyle w:val="Header"/>
      <w:rPr>
        <w:szCs w:val="24"/>
      </w:rPr>
    </w:pPr>
  </w:p>
  <w:p w14:paraId="292C1B24" w14:textId="77777777" w:rsidR="00745495" w:rsidRPr="006E05AF" w:rsidRDefault="00000000" w:rsidP="00745495">
    <w:pPr>
      <w:pStyle w:val="Header"/>
      <w:jc w:val="right"/>
      <w:rPr>
        <w:i/>
        <w:iCs/>
        <w:szCs w:val="24"/>
      </w:rPr>
    </w:pPr>
    <w:r w:rsidRPr="006E05AF">
      <w:rPr>
        <w:i/>
        <w:sz w:val="22"/>
      </w:rPr>
      <w:t>Rosalia Dika Agustanti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577560" w14:textId="77777777" w:rsidR="00DF3D1A" w:rsidRPr="0049417E" w:rsidRDefault="00000000" w:rsidP="00436CFC">
    <w:pPr>
      <w:spacing w:after="0" w:line="240" w:lineRule="auto"/>
      <w:jc w:val="center"/>
      <w:rPr>
        <w:b/>
        <w:szCs w:val="28"/>
        <w:lang w:eastAsia="id-ID"/>
      </w:rPr>
    </w:pPr>
    <w:r w:rsidRPr="0020210E">
      <w:rPr>
        <w:noProof/>
        <w:lang w:val="en-AU" w:eastAsia="en-AU"/>
      </w:rPr>
      <w:drawing>
        <wp:anchor distT="0" distB="0" distL="114300" distR="114300" simplePos="0" relativeHeight="251668480" behindDoc="1" locked="0" layoutInCell="1" allowOverlap="1" wp14:anchorId="63CFA4D1" wp14:editId="2FF2C529">
          <wp:simplePos x="0" y="0"/>
          <wp:positionH relativeFrom="margin">
            <wp:posOffset>-824702</wp:posOffset>
          </wp:positionH>
          <wp:positionV relativeFrom="paragraph">
            <wp:posOffset>181137</wp:posOffset>
          </wp:positionV>
          <wp:extent cx="819785" cy="5429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1" t="18919" r="-7246" b="14865"/>
                  <a:stretch/>
                </pic:blipFill>
                <pic:spPr bwMode="auto">
                  <a:xfrm>
                    <a:off x="0" y="0"/>
                    <a:ext cx="819785"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3ECBA6" w14:textId="77777777" w:rsidR="00DF3D1A" w:rsidRPr="0049417E" w:rsidRDefault="00000000" w:rsidP="00436CFC">
    <w:pPr>
      <w:spacing w:after="0" w:line="240" w:lineRule="auto"/>
      <w:ind w:left="284"/>
      <w:rPr>
        <w:b/>
        <w:szCs w:val="28"/>
        <w:lang w:eastAsia="id-ID"/>
      </w:rPr>
    </w:pPr>
    <w:r w:rsidRPr="0049417E">
      <w:rPr>
        <w:rFonts w:eastAsia="Times New Roman"/>
        <w:b/>
        <w:szCs w:val="28"/>
        <w:lang w:eastAsia="id-ID"/>
      </w:rPr>
      <w:t>Adagium: Jurnal Ilmiah Hukum</w:t>
    </w:r>
  </w:p>
  <w:p w14:paraId="37178F2C" w14:textId="77777777" w:rsidR="00DF3D1A" w:rsidRPr="0049417E" w:rsidRDefault="00000000" w:rsidP="00436CFC">
    <w:pPr>
      <w:spacing w:after="0" w:line="240" w:lineRule="auto"/>
      <w:ind w:left="284"/>
      <w:rPr>
        <w:b/>
        <w:szCs w:val="28"/>
        <w:lang w:eastAsia="id-ID"/>
      </w:rPr>
    </w:pPr>
    <w:r w:rsidRPr="0049417E">
      <w:rPr>
        <w:rFonts w:eastAsia="Times New Roman"/>
        <w:b/>
        <w:szCs w:val="28"/>
      </w:rPr>
      <w:t>E-ISSN:</w:t>
    </w:r>
    <w:r w:rsidRPr="0049417E">
      <w:rPr>
        <w:rFonts w:eastAsia="Times New Roman"/>
        <w:b/>
        <w:color w:val="000000" w:themeColor="text1"/>
        <w:szCs w:val="28"/>
      </w:rPr>
      <w:t xml:space="preserve"> </w:t>
    </w:r>
    <w:hyperlink r:id="rId2">
      <w:r w:rsidR="00DF3D1A" w:rsidRPr="0049417E">
        <w:rPr>
          <w:rFonts w:cs="Cambria"/>
          <w:b/>
          <w:color w:val="000000" w:themeColor="text1"/>
          <w:szCs w:val="28"/>
        </w:rPr>
        <w:t>2985-5128</w:t>
      </w:r>
    </w:hyperlink>
  </w:p>
  <w:p w14:paraId="1DDC6C18" w14:textId="1C874FA1" w:rsidR="00DF3D1A" w:rsidRPr="0049417E" w:rsidRDefault="00000000" w:rsidP="00436CFC">
    <w:pPr>
      <w:spacing w:after="0" w:line="240" w:lineRule="auto"/>
      <w:ind w:left="284"/>
      <w:rPr>
        <w:szCs w:val="28"/>
      </w:rPr>
    </w:pPr>
    <w:r w:rsidRPr="0049417E">
      <w:rPr>
        <w:noProof/>
        <w:szCs w:val="28"/>
      </w:rPr>
      <w:drawing>
        <wp:anchor distT="0" distB="0" distL="0" distR="0" simplePos="0" relativeHeight="251670528" behindDoc="0" locked="0" layoutInCell="1" allowOverlap="1" wp14:anchorId="0F828A91" wp14:editId="1E0A99E5">
          <wp:simplePos x="0" y="0"/>
          <wp:positionH relativeFrom="page">
            <wp:posOffset>5566232</wp:posOffset>
          </wp:positionH>
          <wp:positionV relativeFrom="paragraph">
            <wp:posOffset>34724</wp:posOffset>
          </wp:positionV>
          <wp:extent cx="916312" cy="326478"/>
          <wp:effectExtent l="0" t="0" r="0" b="0"/>
          <wp:wrapNone/>
          <wp:docPr id="2" name="Image 2">
            <a:hlinkClick xmlns:a="http://schemas.openxmlformats.org/drawingml/2006/main" r:id="rId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hlinkClick r:id="rId3"/>
                  </pic:cNvPr>
                  <pic:cNvPicPr/>
                </pic:nvPicPr>
                <pic:blipFill>
                  <a:blip r:embed="rId4" cstate="print"/>
                  <a:stretch>
                    <a:fillRect/>
                  </a:stretch>
                </pic:blipFill>
                <pic:spPr>
                  <a:xfrm>
                    <a:off x="0" y="0"/>
                    <a:ext cx="916312" cy="326478"/>
                  </a:xfrm>
                  <a:prstGeom prst="rect">
                    <a:avLst/>
                  </a:prstGeom>
                </pic:spPr>
              </pic:pic>
            </a:graphicData>
          </a:graphic>
        </wp:anchor>
      </w:drawing>
    </w:r>
    <w:r w:rsidRPr="0049417E">
      <w:rPr>
        <w:rFonts w:eastAsia="Times New Roman"/>
        <w:szCs w:val="28"/>
      </w:rPr>
      <w:t>Volume 4 Number 2 (2026), pp. 1143-116</w:t>
    </w:r>
    <w:r w:rsidR="006E05AF">
      <w:rPr>
        <w:rFonts w:eastAsia="Times New Roman"/>
        <w:szCs w:val="28"/>
      </w:rPr>
      <w:t>4</w:t>
    </w:r>
  </w:p>
  <w:p w14:paraId="2C2B97C8" w14:textId="77777777" w:rsidR="00DF3D1A" w:rsidRPr="0049417E" w:rsidRDefault="00000000" w:rsidP="00436CFC">
    <w:pPr>
      <w:spacing w:after="0" w:line="240" w:lineRule="auto"/>
      <w:ind w:left="284"/>
      <w:rPr>
        <w:bCs/>
        <w:i/>
        <w:iCs/>
        <w:color w:val="0070C0"/>
        <w:szCs w:val="28"/>
        <w:lang w:eastAsia="id-ID"/>
      </w:rPr>
    </w:pPr>
    <w:r>
      <w:rPr>
        <w:rFonts w:ascii="Times New Roman" w:hAnsi="Times New Roman"/>
        <w:b/>
      </w:rPr>
      <w:t>DOI:</w:t>
    </w:r>
    <w:r>
      <w:rPr>
        <w:rFonts w:cs="Cambria"/>
        <w:i/>
        <w:iCs/>
        <w:color w:val="0563C1"/>
        <w:sz w:val="22"/>
        <w:u w:val="single"/>
      </w:rPr>
      <w:t xml:space="preserve"> https://doi.org/10.70308/9b7fej93</w:t>
    </w:r>
  </w:p>
  <w:p w14:paraId="1F6A9CF0" w14:textId="77777777" w:rsidR="00DF3D1A" w:rsidRPr="0049417E" w:rsidRDefault="00000000" w:rsidP="00436CFC">
    <w:pPr>
      <w:pStyle w:val="Header"/>
      <w:rPr>
        <w:szCs w:val="28"/>
      </w:rPr>
    </w:pPr>
    <w:r w:rsidRPr="0049417E">
      <w:rPr>
        <w:noProof/>
        <w:szCs w:val="28"/>
      </w:rPr>
      <mc:AlternateContent>
        <mc:Choice Requires="wps">
          <w:drawing>
            <wp:anchor distT="0" distB="0" distL="114300" distR="114300" simplePos="0" relativeHeight="251669504" behindDoc="0" locked="0" layoutInCell="1" allowOverlap="1" wp14:anchorId="17BEA908" wp14:editId="08674C49">
              <wp:simplePos x="0" y="0"/>
              <wp:positionH relativeFrom="column">
                <wp:posOffset>18415</wp:posOffset>
              </wp:positionH>
              <wp:positionV relativeFrom="paragraph">
                <wp:posOffset>69215</wp:posOffset>
              </wp:positionV>
              <wp:extent cx="53848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38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25F38E"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45pt,5.45pt" to="425.4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A0213"/>
    <w:multiLevelType w:val="hybridMultilevel"/>
    <w:tmpl w:val="6E2044BE"/>
    <w:lvl w:ilvl="0" w:tplc="04090011">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9652AC7"/>
    <w:multiLevelType w:val="hybridMultilevel"/>
    <w:tmpl w:val="4292292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28AC957E">
      <w:start w:val="1"/>
      <w:numFmt w:val="upperLetter"/>
      <w:lvlText w:val="%3."/>
      <w:lvlJc w:val="left"/>
      <w:pPr>
        <w:ind w:left="3060" w:hanging="360"/>
      </w:pPr>
    </w:lvl>
    <w:lvl w:ilvl="3" w:tplc="D4763C26">
      <w:start w:val="1"/>
      <w:numFmt w:val="decimal"/>
      <w:lvlText w:val="%4."/>
      <w:lvlJc w:val="left"/>
      <w:pPr>
        <w:ind w:left="3600" w:hanging="360"/>
      </w:pPr>
      <w:rPr>
        <w:rFonts w:ascii="Times New Roman" w:eastAsiaTheme="minorHAnsi" w:hAnsi="Times New Roman" w:cs="Times New Roman"/>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AAC2761"/>
    <w:multiLevelType w:val="hybridMultilevel"/>
    <w:tmpl w:val="93165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9189B"/>
    <w:multiLevelType w:val="hybridMultilevel"/>
    <w:tmpl w:val="4F98EA1A"/>
    <w:lvl w:ilvl="0" w:tplc="07BE669C">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15:restartNumberingAfterBreak="0">
    <w:nsid w:val="1B275AA1"/>
    <w:multiLevelType w:val="hybridMultilevel"/>
    <w:tmpl w:val="511C0260"/>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15:restartNumberingAfterBreak="0">
    <w:nsid w:val="1C7B6195"/>
    <w:multiLevelType w:val="hybridMultilevel"/>
    <w:tmpl w:val="CB6A35C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 w15:restartNumberingAfterBreak="0">
    <w:nsid w:val="21730024"/>
    <w:multiLevelType w:val="hybridMultilevel"/>
    <w:tmpl w:val="48FC47B6"/>
    <w:lvl w:ilvl="0" w:tplc="574ED8AE">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 w15:restartNumberingAfterBreak="0">
    <w:nsid w:val="22F962A2"/>
    <w:multiLevelType w:val="hybridMultilevel"/>
    <w:tmpl w:val="82AA19EA"/>
    <w:lvl w:ilvl="0" w:tplc="E710CEB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3579295D"/>
    <w:multiLevelType w:val="multilevel"/>
    <w:tmpl w:val="23EC8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3A3CD1"/>
    <w:multiLevelType w:val="hybridMultilevel"/>
    <w:tmpl w:val="D43CA58C"/>
    <w:lvl w:ilvl="0" w:tplc="0444E93A">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0" w15:restartNumberingAfterBreak="0">
    <w:nsid w:val="3B1A2340"/>
    <w:multiLevelType w:val="multilevel"/>
    <w:tmpl w:val="F6221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E42B3F"/>
    <w:multiLevelType w:val="hybridMultilevel"/>
    <w:tmpl w:val="B2084E18"/>
    <w:lvl w:ilvl="0" w:tplc="50A091BE">
      <w:start w:val="1"/>
      <w:numFmt w:val="upperLetter"/>
      <w:lvlText w:val="%1."/>
      <w:lvlJc w:val="left"/>
      <w:pPr>
        <w:ind w:left="3060" w:hanging="360"/>
      </w:pPr>
    </w:lvl>
    <w:lvl w:ilvl="1" w:tplc="04090019">
      <w:start w:val="1"/>
      <w:numFmt w:val="lowerLetter"/>
      <w:lvlText w:val="%2."/>
      <w:lvlJc w:val="left"/>
      <w:pPr>
        <w:ind w:left="3780" w:hanging="360"/>
      </w:pPr>
    </w:lvl>
    <w:lvl w:ilvl="2" w:tplc="0409001B">
      <w:start w:val="1"/>
      <w:numFmt w:val="lowerRoman"/>
      <w:lvlText w:val="%3."/>
      <w:lvlJc w:val="right"/>
      <w:pPr>
        <w:ind w:left="4500" w:hanging="180"/>
      </w:pPr>
    </w:lvl>
    <w:lvl w:ilvl="3" w:tplc="0409000F">
      <w:start w:val="1"/>
      <w:numFmt w:val="decimal"/>
      <w:lvlText w:val="%4."/>
      <w:lvlJc w:val="left"/>
      <w:pPr>
        <w:ind w:left="5220" w:hanging="360"/>
      </w:pPr>
    </w:lvl>
    <w:lvl w:ilvl="4" w:tplc="04090019">
      <w:start w:val="1"/>
      <w:numFmt w:val="lowerLetter"/>
      <w:lvlText w:val="%5."/>
      <w:lvlJc w:val="left"/>
      <w:pPr>
        <w:ind w:left="5940" w:hanging="360"/>
      </w:pPr>
    </w:lvl>
    <w:lvl w:ilvl="5" w:tplc="0409001B">
      <w:start w:val="1"/>
      <w:numFmt w:val="lowerRoman"/>
      <w:lvlText w:val="%6."/>
      <w:lvlJc w:val="right"/>
      <w:pPr>
        <w:ind w:left="6660" w:hanging="180"/>
      </w:pPr>
    </w:lvl>
    <w:lvl w:ilvl="6" w:tplc="0409000F">
      <w:start w:val="1"/>
      <w:numFmt w:val="decimal"/>
      <w:lvlText w:val="%7."/>
      <w:lvlJc w:val="left"/>
      <w:pPr>
        <w:ind w:left="7380" w:hanging="360"/>
      </w:pPr>
    </w:lvl>
    <w:lvl w:ilvl="7" w:tplc="04090019">
      <w:start w:val="1"/>
      <w:numFmt w:val="lowerLetter"/>
      <w:lvlText w:val="%8."/>
      <w:lvlJc w:val="left"/>
      <w:pPr>
        <w:ind w:left="8100" w:hanging="360"/>
      </w:pPr>
    </w:lvl>
    <w:lvl w:ilvl="8" w:tplc="0409001B">
      <w:start w:val="1"/>
      <w:numFmt w:val="lowerRoman"/>
      <w:lvlText w:val="%9."/>
      <w:lvlJc w:val="right"/>
      <w:pPr>
        <w:ind w:left="8820" w:hanging="180"/>
      </w:pPr>
    </w:lvl>
  </w:abstractNum>
  <w:abstractNum w:abstractNumId="12" w15:restartNumberingAfterBreak="0">
    <w:nsid w:val="3FE74C62"/>
    <w:multiLevelType w:val="hybridMultilevel"/>
    <w:tmpl w:val="470C09B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A723073"/>
    <w:multiLevelType w:val="hybridMultilevel"/>
    <w:tmpl w:val="5A7E1CA2"/>
    <w:lvl w:ilvl="0" w:tplc="07BE669C">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4CE647EB"/>
    <w:multiLevelType w:val="hybridMultilevel"/>
    <w:tmpl w:val="0054FD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F934EC"/>
    <w:multiLevelType w:val="multilevel"/>
    <w:tmpl w:val="01A697EE"/>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16" w15:restartNumberingAfterBreak="0">
    <w:nsid w:val="50422DE2"/>
    <w:multiLevelType w:val="hybridMultilevel"/>
    <w:tmpl w:val="4268F622"/>
    <w:lvl w:ilvl="0" w:tplc="D35C094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17A0CB7"/>
    <w:multiLevelType w:val="hybridMultilevel"/>
    <w:tmpl w:val="E0363D4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9A972D7"/>
    <w:multiLevelType w:val="hybridMultilevel"/>
    <w:tmpl w:val="D04EDA54"/>
    <w:lvl w:ilvl="0" w:tplc="07BE669C">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5B0B05A4"/>
    <w:multiLevelType w:val="hybridMultilevel"/>
    <w:tmpl w:val="924CDB64"/>
    <w:lvl w:ilvl="0" w:tplc="46409BAC">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0" w15:restartNumberingAfterBreak="0">
    <w:nsid w:val="5B686D79"/>
    <w:multiLevelType w:val="hybridMultilevel"/>
    <w:tmpl w:val="5B9CE3DA"/>
    <w:lvl w:ilvl="0" w:tplc="7ED4FF08">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1" w15:restartNumberingAfterBreak="0">
    <w:nsid w:val="60530C4E"/>
    <w:multiLevelType w:val="multilevel"/>
    <w:tmpl w:val="61FA1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FE1919"/>
    <w:multiLevelType w:val="hybridMultilevel"/>
    <w:tmpl w:val="F9500F5C"/>
    <w:lvl w:ilvl="0" w:tplc="C346E12C">
      <w:start w:val="1"/>
      <w:numFmt w:val="upperLetter"/>
      <w:lvlText w:val="%1."/>
      <w:lvlJc w:val="left"/>
      <w:pPr>
        <w:ind w:left="1170" w:hanging="360"/>
      </w:pPr>
      <w:rPr>
        <w:sz w:val="24"/>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3" w15:restartNumberingAfterBreak="0">
    <w:nsid w:val="7ED75B24"/>
    <w:multiLevelType w:val="hybridMultilevel"/>
    <w:tmpl w:val="9B00FE08"/>
    <w:lvl w:ilvl="0" w:tplc="0588850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349874153">
    <w:abstractNumId w:val="14"/>
  </w:num>
  <w:num w:numId="2" w16cid:durableId="13606606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39057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090142">
    <w:abstractNumId w:val="13"/>
  </w:num>
  <w:num w:numId="5" w16cid:durableId="1513375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3373479">
    <w:abstractNumId w:val="0"/>
  </w:num>
  <w:num w:numId="7" w16cid:durableId="1094787971">
    <w:abstractNumId w:val="2"/>
  </w:num>
  <w:num w:numId="8" w16cid:durableId="759251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33638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7018357">
    <w:abstractNumId w:val="13"/>
  </w:num>
  <w:num w:numId="11" w16cid:durableId="17510046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82571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520114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7283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8589880">
    <w:abstractNumId w:val="16"/>
  </w:num>
  <w:num w:numId="16" w16cid:durableId="1609196224">
    <w:abstractNumId w:val="18"/>
  </w:num>
  <w:num w:numId="17" w16cid:durableId="2096973262">
    <w:abstractNumId w:val="23"/>
  </w:num>
  <w:num w:numId="18" w16cid:durableId="2100713271">
    <w:abstractNumId w:val="3"/>
  </w:num>
  <w:num w:numId="19" w16cid:durableId="1167138622">
    <w:abstractNumId w:val="5"/>
  </w:num>
  <w:num w:numId="20" w16cid:durableId="782959056">
    <w:abstractNumId w:val="4"/>
  </w:num>
  <w:num w:numId="21" w16cid:durableId="2083601821">
    <w:abstractNumId w:val="10"/>
  </w:num>
  <w:num w:numId="22" w16cid:durableId="179512193">
    <w:abstractNumId w:val="17"/>
  </w:num>
  <w:num w:numId="23" w16cid:durableId="1503858889">
    <w:abstractNumId w:val="6"/>
  </w:num>
  <w:num w:numId="24" w16cid:durableId="10841253">
    <w:abstractNumId w:val="21"/>
  </w:num>
  <w:num w:numId="25" w16cid:durableId="1255747394">
    <w:abstractNumId w:val="12"/>
  </w:num>
  <w:num w:numId="26" w16cid:durableId="1668171306">
    <w:abstractNumId w:val="8"/>
  </w:num>
  <w:num w:numId="27" w16cid:durableId="137918412">
    <w:abstractNumId w:val="19"/>
  </w:num>
  <w:num w:numId="28" w16cid:durableId="31615586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043"/>
    <w:rsid w:val="00004667"/>
    <w:rsid w:val="00013F6A"/>
    <w:rsid w:val="00025993"/>
    <w:rsid w:val="00032B68"/>
    <w:rsid w:val="00041A12"/>
    <w:rsid w:val="000439ED"/>
    <w:rsid w:val="00043D98"/>
    <w:rsid w:val="000660BC"/>
    <w:rsid w:val="00086427"/>
    <w:rsid w:val="000B46F0"/>
    <w:rsid w:val="000D5CBA"/>
    <w:rsid w:val="000D65DC"/>
    <w:rsid w:val="001037B8"/>
    <w:rsid w:val="001072E2"/>
    <w:rsid w:val="00112C11"/>
    <w:rsid w:val="00127EC3"/>
    <w:rsid w:val="00150CDF"/>
    <w:rsid w:val="001A0F2C"/>
    <w:rsid w:val="001C1825"/>
    <w:rsid w:val="00293F3A"/>
    <w:rsid w:val="002B4761"/>
    <w:rsid w:val="002E30D8"/>
    <w:rsid w:val="00310556"/>
    <w:rsid w:val="00324043"/>
    <w:rsid w:val="00334743"/>
    <w:rsid w:val="00337F40"/>
    <w:rsid w:val="0037642A"/>
    <w:rsid w:val="003A68C1"/>
    <w:rsid w:val="00454AE4"/>
    <w:rsid w:val="00465F0A"/>
    <w:rsid w:val="00475B42"/>
    <w:rsid w:val="00490CB5"/>
    <w:rsid w:val="004A20A5"/>
    <w:rsid w:val="004B4CD3"/>
    <w:rsid w:val="004C3445"/>
    <w:rsid w:val="004F15C1"/>
    <w:rsid w:val="004F462D"/>
    <w:rsid w:val="00503A90"/>
    <w:rsid w:val="005058F1"/>
    <w:rsid w:val="00546831"/>
    <w:rsid w:val="0058020E"/>
    <w:rsid w:val="005C2765"/>
    <w:rsid w:val="00604708"/>
    <w:rsid w:val="006D671C"/>
    <w:rsid w:val="006E05AF"/>
    <w:rsid w:val="007021D8"/>
    <w:rsid w:val="007446B1"/>
    <w:rsid w:val="00745495"/>
    <w:rsid w:val="007C36C8"/>
    <w:rsid w:val="007E531B"/>
    <w:rsid w:val="007F3729"/>
    <w:rsid w:val="00821A44"/>
    <w:rsid w:val="008670F7"/>
    <w:rsid w:val="00870299"/>
    <w:rsid w:val="00894785"/>
    <w:rsid w:val="008A6FAE"/>
    <w:rsid w:val="008B49A6"/>
    <w:rsid w:val="00933836"/>
    <w:rsid w:val="0095575C"/>
    <w:rsid w:val="00956FFD"/>
    <w:rsid w:val="00960CFD"/>
    <w:rsid w:val="00966057"/>
    <w:rsid w:val="009B5CF3"/>
    <w:rsid w:val="009F1A7A"/>
    <w:rsid w:val="009F26E9"/>
    <w:rsid w:val="00A04AA7"/>
    <w:rsid w:val="00A319B9"/>
    <w:rsid w:val="00A65C5B"/>
    <w:rsid w:val="00A90A62"/>
    <w:rsid w:val="00AD33AD"/>
    <w:rsid w:val="00AD415A"/>
    <w:rsid w:val="00AF51E0"/>
    <w:rsid w:val="00B126CB"/>
    <w:rsid w:val="00B135FE"/>
    <w:rsid w:val="00B30A2D"/>
    <w:rsid w:val="00B53016"/>
    <w:rsid w:val="00B654B5"/>
    <w:rsid w:val="00B6561A"/>
    <w:rsid w:val="00B726FD"/>
    <w:rsid w:val="00B82500"/>
    <w:rsid w:val="00BA1045"/>
    <w:rsid w:val="00BA2541"/>
    <w:rsid w:val="00BA390B"/>
    <w:rsid w:val="00BA608F"/>
    <w:rsid w:val="00BB3FEC"/>
    <w:rsid w:val="00BC384C"/>
    <w:rsid w:val="00BD77D3"/>
    <w:rsid w:val="00C12230"/>
    <w:rsid w:val="00C362AD"/>
    <w:rsid w:val="00CD6F5F"/>
    <w:rsid w:val="00CF787A"/>
    <w:rsid w:val="00D03B9D"/>
    <w:rsid w:val="00D37E43"/>
    <w:rsid w:val="00D555EA"/>
    <w:rsid w:val="00DB7611"/>
    <w:rsid w:val="00DC0D24"/>
    <w:rsid w:val="00DD2BD2"/>
    <w:rsid w:val="00DD61CF"/>
    <w:rsid w:val="00DE0052"/>
    <w:rsid w:val="00DE1D8F"/>
    <w:rsid w:val="00DE486C"/>
    <w:rsid w:val="00DF3D1A"/>
    <w:rsid w:val="00DF7C64"/>
    <w:rsid w:val="00E03B42"/>
    <w:rsid w:val="00E12946"/>
    <w:rsid w:val="00E244D7"/>
    <w:rsid w:val="00E26081"/>
    <w:rsid w:val="00E31881"/>
    <w:rsid w:val="00E40ED5"/>
    <w:rsid w:val="00E41397"/>
    <w:rsid w:val="00E44E9C"/>
    <w:rsid w:val="00EA5D8E"/>
    <w:rsid w:val="00EB5A08"/>
    <w:rsid w:val="00EC55D9"/>
    <w:rsid w:val="00EC5BDE"/>
    <w:rsid w:val="00ED2616"/>
    <w:rsid w:val="00ED6830"/>
    <w:rsid w:val="00F41F35"/>
    <w:rsid w:val="00F5529E"/>
    <w:rsid w:val="00F60540"/>
    <w:rsid w:val="00F62951"/>
    <w:rsid w:val="00F67647"/>
    <w:rsid w:val="00F714C6"/>
    <w:rsid w:val="00F748BC"/>
    <w:rsid w:val="00F80EC2"/>
    <w:rsid w:val="00FE3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76335"/>
  <w15:chartTrackingRefBased/>
  <w15:docId w15:val="{2C1B4FA2-87BF-44D0-A3FD-D0CC3152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sz w:val="24"/>
    </w:rPr>
  </w:style>
  <w:style w:type="paragraph" w:styleId="Judul1">
    <w:name w:val="heading 1"/>
    <w:basedOn w:val="Normal"/>
    <w:next w:val="Normal"/>
    <w:link w:val="Judul1KAR"/>
    <w:uiPriority w:val="9"/>
    <w:qFormat/>
    <w:rsid w:val="00D555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Judul2">
    <w:name w:val="heading 2"/>
    <w:basedOn w:val="Normal"/>
    <w:next w:val="Normal"/>
    <w:link w:val="Judul2KAR"/>
    <w:uiPriority w:val="9"/>
    <w:unhideWhenUsed/>
    <w:qFormat/>
    <w:rsid w:val="00D555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semiHidden/>
    <w:unhideWhenUsed/>
    <w:qFormat/>
    <w:rsid w:val="00D555EA"/>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basedOn w:val="Normal"/>
    <w:uiPriority w:val="34"/>
    <w:qFormat/>
    <w:rsid w:val="00324043"/>
    <w:pPr>
      <w:ind w:left="720"/>
      <w:contextualSpacing/>
    </w:pPr>
  </w:style>
  <w:style w:type="paragraph" w:styleId="TeksCatatanKaki">
    <w:name w:val="footnote text"/>
    <w:basedOn w:val="Normal"/>
    <w:link w:val="TeksCatatanKakiKAR"/>
    <w:uiPriority w:val="99"/>
    <w:unhideWhenUsed/>
    <w:rsid w:val="00F67647"/>
    <w:pPr>
      <w:spacing w:after="0" w:line="240" w:lineRule="auto"/>
    </w:pPr>
    <w:rPr>
      <w:sz w:val="20"/>
      <w:szCs w:val="20"/>
    </w:rPr>
  </w:style>
  <w:style w:type="character" w:customStyle="1" w:styleId="TeksCatatanKakiKAR">
    <w:name w:val="Teks Catatan Kaki KAR"/>
    <w:basedOn w:val="FontParagrafDefault"/>
    <w:link w:val="TeksCatatanKaki"/>
    <w:uiPriority w:val="99"/>
    <w:rsid w:val="00F67647"/>
    <w:rPr>
      <w:sz w:val="20"/>
      <w:szCs w:val="20"/>
    </w:rPr>
  </w:style>
  <w:style w:type="character" w:styleId="ReferensiCatatanKaki">
    <w:name w:val="footnote reference"/>
    <w:basedOn w:val="FontParagrafDefault"/>
    <w:uiPriority w:val="99"/>
    <w:semiHidden/>
    <w:unhideWhenUsed/>
    <w:rsid w:val="00F67647"/>
    <w:rPr>
      <w:vertAlign w:val="superscript"/>
    </w:rPr>
  </w:style>
  <w:style w:type="character" w:styleId="Hyperlink">
    <w:name w:val="Hyperlink"/>
    <w:basedOn w:val="FontParagrafDefault"/>
    <w:uiPriority w:val="99"/>
    <w:unhideWhenUsed/>
    <w:rsid w:val="005C2765"/>
    <w:rPr>
      <w:color w:val="0563C1" w:themeColor="hyperlink"/>
      <w:u w:val="single"/>
    </w:rPr>
  </w:style>
  <w:style w:type="character" w:styleId="SebutanYangBelumTerselesaikan">
    <w:name w:val="Unresolved Mention"/>
    <w:basedOn w:val="FontParagrafDefault"/>
    <w:uiPriority w:val="99"/>
    <w:semiHidden/>
    <w:unhideWhenUsed/>
    <w:rsid w:val="005C2765"/>
    <w:rPr>
      <w:color w:val="605E5C"/>
      <w:shd w:val="clear" w:color="auto" w:fill="E1DFDD"/>
    </w:rPr>
  </w:style>
  <w:style w:type="paragraph" w:styleId="Header">
    <w:name w:val="header"/>
    <w:basedOn w:val="Normal"/>
    <w:link w:val="HeaderKAR"/>
    <w:uiPriority w:val="99"/>
    <w:unhideWhenUsed/>
    <w:rsid w:val="00745495"/>
    <w:pPr>
      <w:tabs>
        <w:tab w:val="center" w:pos="4680"/>
        <w:tab w:val="right" w:pos="9360"/>
      </w:tabs>
      <w:spacing w:after="0" w:line="240" w:lineRule="auto"/>
    </w:pPr>
  </w:style>
  <w:style w:type="character" w:customStyle="1" w:styleId="HeaderKAR">
    <w:name w:val="Header KAR"/>
    <w:basedOn w:val="FontParagrafDefault"/>
    <w:link w:val="Header"/>
    <w:uiPriority w:val="99"/>
    <w:rsid w:val="00745495"/>
  </w:style>
  <w:style w:type="paragraph" w:styleId="Footer">
    <w:name w:val="footer"/>
    <w:basedOn w:val="Normal"/>
    <w:link w:val="FooterKAR"/>
    <w:uiPriority w:val="99"/>
    <w:unhideWhenUsed/>
    <w:rsid w:val="00745495"/>
    <w:pPr>
      <w:tabs>
        <w:tab w:val="center" w:pos="4680"/>
        <w:tab w:val="right" w:pos="9360"/>
      </w:tabs>
      <w:spacing w:after="0" w:line="240" w:lineRule="auto"/>
    </w:pPr>
  </w:style>
  <w:style w:type="character" w:customStyle="1" w:styleId="FooterKAR">
    <w:name w:val="Footer KAR"/>
    <w:basedOn w:val="FontParagrafDefault"/>
    <w:link w:val="Footer"/>
    <w:uiPriority w:val="99"/>
    <w:rsid w:val="00745495"/>
  </w:style>
  <w:style w:type="character" w:customStyle="1" w:styleId="Judul1KAR">
    <w:name w:val="Judul 1 KAR"/>
    <w:basedOn w:val="FontParagrafDefault"/>
    <w:link w:val="Judul1"/>
    <w:uiPriority w:val="9"/>
    <w:rsid w:val="00D555EA"/>
    <w:rPr>
      <w:rFonts w:asciiTheme="majorHAnsi" w:eastAsiaTheme="majorEastAsia" w:hAnsiTheme="majorHAnsi" w:cstheme="majorBidi"/>
      <w:color w:val="2E74B5" w:themeColor="accent1" w:themeShade="BF"/>
      <w:sz w:val="32"/>
      <w:szCs w:val="32"/>
    </w:rPr>
  </w:style>
  <w:style w:type="character" w:customStyle="1" w:styleId="Judul2KAR">
    <w:name w:val="Judul 2 KAR"/>
    <w:basedOn w:val="FontParagrafDefault"/>
    <w:link w:val="Judul2"/>
    <w:uiPriority w:val="9"/>
    <w:rsid w:val="00D555EA"/>
    <w:rPr>
      <w:rFonts w:asciiTheme="majorHAnsi" w:eastAsiaTheme="majorEastAsia" w:hAnsiTheme="majorHAnsi" w:cstheme="majorBidi"/>
      <w:color w:val="2E74B5" w:themeColor="accent1" w:themeShade="BF"/>
      <w:sz w:val="26"/>
      <w:szCs w:val="26"/>
    </w:rPr>
  </w:style>
  <w:style w:type="character" w:customStyle="1" w:styleId="Judul3KAR">
    <w:name w:val="Judul 3 KAR"/>
    <w:basedOn w:val="FontParagrafDefault"/>
    <w:link w:val="Judul3"/>
    <w:uiPriority w:val="9"/>
    <w:semiHidden/>
    <w:rsid w:val="00D555EA"/>
    <w:rPr>
      <w:rFonts w:asciiTheme="majorHAnsi" w:eastAsiaTheme="majorEastAsia" w:hAnsiTheme="majorHAnsi" w:cstheme="majorBidi"/>
      <w:color w:val="1F4D78" w:themeColor="accent1" w:themeShade="7F"/>
      <w:sz w:val="24"/>
      <w:szCs w:val="24"/>
    </w:rPr>
  </w:style>
  <w:style w:type="table" w:styleId="KisiTabel">
    <w:name w:val="Table Grid"/>
    <w:basedOn w:val="TabelNormal"/>
    <w:uiPriority w:val="39"/>
    <w:rsid w:val="00043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isiTabelTerang">
    <w:name w:val="Grid Table Light"/>
    <w:basedOn w:val="TabelNormal"/>
    <w:uiPriority w:val="40"/>
    <w:rsid w:val="000439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Biasa1">
    <w:name w:val="Plain Table 1"/>
    <w:basedOn w:val="TabelNormal"/>
    <w:uiPriority w:val="41"/>
    <w:rsid w:val="000439E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Biasa2">
    <w:name w:val="Plain Table 2"/>
    <w:basedOn w:val="TabelNormal"/>
    <w:uiPriority w:val="42"/>
    <w:rsid w:val="000439E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F5529E"/>
    <w:pPr>
      <w:spacing w:before="100" w:beforeAutospacing="1" w:after="100" w:afterAutospacing="1" w:line="240" w:lineRule="auto"/>
    </w:pPr>
    <w:rPr>
      <w:rFonts w:ascii="Times New Roman" w:eastAsia="Times New Roman" w:hAnsi="Times New Roman" w:cs="Times New Roman"/>
      <w:szCs w:val="24"/>
      <w:lang w:val="id-ID" w:eastAsia="id-ID"/>
    </w:rPr>
  </w:style>
  <w:style w:type="character" w:styleId="Kuat">
    <w:name w:val="Strong"/>
    <w:basedOn w:val="FontParagrafDefault"/>
    <w:uiPriority w:val="22"/>
    <w:qFormat/>
    <w:rsid w:val="00F5529E"/>
    <w:rPr>
      <w:b/>
      <w:bCs/>
    </w:rPr>
  </w:style>
  <w:style w:type="paragraph" w:styleId="HTMLSudahDiformat">
    <w:name w:val="HTML Preformatted"/>
    <w:basedOn w:val="Normal"/>
    <w:link w:val="HTMLSudahDiformatKAR"/>
    <w:uiPriority w:val="99"/>
    <w:semiHidden/>
    <w:unhideWhenUsed/>
    <w:rsid w:val="00F55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semiHidden/>
    <w:rsid w:val="00F5529E"/>
    <w:rPr>
      <w:rFonts w:ascii="Courier New" w:eastAsia="Times New Roman" w:hAnsi="Courier New" w:cs="Courier New"/>
      <w:sz w:val="20"/>
      <w:szCs w:val="20"/>
      <w:lang w:val="id-ID" w:eastAsia="id-ID"/>
    </w:rPr>
  </w:style>
  <w:style w:type="character" w:styleId="KodeHTML">
    <w:name w:val="HTML Code"/>
    <w:basedOn w:val="FontParagrafDefault"/>
    <w:uiPriority w:val="99"/>
    <w:semiHidden/>
    <w:unhideWhenUsed/>
    <w:rsid w:val="00F5529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756655">
      <w:bodyDiv w:val="1"/>
      <w:marLeft w:val="0"/>
      <w:marRight w:val="0"/>
      <w:marTop w:val="0"/>
      <w:marBottom w:val="0"/>
      <w:divBdr>
        <w:top w:val="none" w:sz="0" w:space="0" w:color="auto"/>
        <w:left w:val="none" w:sz="0" w:space="0" w:color="auto"/>
        <w:bottom w:val="none" w:sz="0" w:space="0" w:color="auto"/>
        <w:right w:val="none" w:sz="0" w:space="0" w:color="auto"/>
      </w:divBdr>
    </w:div>
    <w:div w:id="195119440">
      <w:bodyDiv w:val="1"/>
      <w:marLeft w:val="0"/>
      <w:marRight w:val="0"/>
      <w:marTop w:val="0"/>
      <w:marBottom w:val="0"/>
      <w:divBdr>
        <w:top w:val="none" w:sz="0" w:space="0" w:color="auto"/>
        <w:left w:val="none" w:sz="0" w:space="0" w:color="auto"/>
        <w:bottom w:val="none" w:sz="0" w:space="0" w:color="auto"/>
        <w:right w:val="none" w:sz="0" w:space="0" w:color="auto"/>
      </w:divBdr>
    </w:div>
    <w:div w:id="249891733">
      <w:bodyDiv w:val="1"/>
      <w:marLeft w:val="0"/>
      <w:marRight w:val="0"/>
      <w:marTop w:val="0"/>
      <w:marBottom w:val="0"/>
      <w:divBdr>
        <w:top w:val="none" w:sz="0" w:space="0" w:color="auto"/>
        <w:left w:val="none" w:sz="0" w:space="0" w:color="auto"/>
        <w:bottom w:val="none" w:sz="0" w:space="0" w:color="auto"/>
        <w:right w:val="none" w:sz="0" w:space="0" w:color="auto"/>
      </w:divBdr>
    </w:div>
    <w:div w:id="290670307">
      <w:bodyDiv w:val="1"/>
      <w:marLeft w:val="0"/>
      <w:marRight w:val="0"/>
      <w:marTop w:val="0"/>
      <w:marBottom w:val="0"/>
      <w:divBdr>
        <w:top w:val="none" w:sz="0" w:space="0" w:color="auto"/>
        <w:left w:val="none" w:sz="0" w:space="0" w:color="auto"/>
        <w:bottom w:val="none" w:sz="0" w:space="0" w:color="auto"/>
        <w:right w:val="none" w:sz="0" w:space="0" w:color="auto"/>
      </w:divBdr>
    </w:div>
    <w:div w:id="322398060">
      <w:bodyDiv w:val="1"/>
      <w:marLeft w:val="0"/>
      <w:marRight w:val="0"/>
      <w:marTop w:val="0"/>
      <w:marBottom w:val="0"/>
      <w:divBdr>
        <w:top w:val="none" w:sz="0" w:space="0" w:color="auto"/>
        <w:left w:val="none" w:sz="0" w:space="0" w:color="auto"/>
        <w:bottom w:val="none" w:sz="0" w:space="0" w:color="auto"/>
        <w:right w:val="none" w:sz="0" w:space="0" w:color="auto"/>
      </w:divBdr>
    </w:div>
    <w:div w:id="607351385">
      <w:bodyDiv w:val="1"/>
      <w:marLeft w:val="0"/>
      <w:marRight w:val="0"/>
      <w:marTop w:val="0"/>
      <w:marBottom w:val="0"/>
      <w:divBdr>
        <w:top w:val="none" w:sz="0" w:space="0" w:color="auto"/>
        <w:left w:val="none" w:sz="0" w:space="0" w:color="auto"/>
        <w:bottom w:val="none" w:sz="0" w:space="0" w:color="auto"/>
        <w:right w:val="none" w:sz="0" w:space="0" w:color="auto"/>
      </w:divBdr>
    </w:div>
    <w:div w:id="625233219">
      <w:bodyDiv w:val="1"/>
      <w:marLeft w:val="0"/>
      <w:marRight w:val="0"/>
      <w:marTop w:val="0"/>
      <w:marBottom w:val="0"/>
      <w:divBdr>
        <w:top w:val="none" w:sz="0" w:space="0" w:color="auto"/>
        <w:left w:val="none" w:sz="0" w:space="0" w:color="auto"/>
        <w:bottom w:val="none" w:sz="0" w:space="0" w:color="auto"/>
        <w:right w:val="none" w:sz="0" w:space="0" w:color="auto"/>
      </w:divBdr>
    </w:div>
    <w:div w:id="688487997">
      <w:bodyDiv w:val="1"/>
      <w:marLeft w:val="0"/>
      <w:marRight w:val="0"/>
      <w:marTop w:val="0"/>
      <w:marBottom w:val="0"/>
      <w:divBdr>
        <w:top w:val="none" w:sz="0" w:space="0" w:color="auto"/>
        <w:left w:val="none" w:sz="0" w:space="0" w:color="auto"/>
        <w:bottom w:val="none" w:sz="0" w:space="0" w:color="auto"/>
        <w:right w:val="none" w:sz="0" w:space="0" w:color="auto"/>
      </w:divBdr>
    </w:div>
    <w:div w:id="758330014">
      <w:bodyDiv w:val="1"/>
      <w:marLeft w:val="0"/>
      <w:marRight w:val="0"/>
      <w:marTop w:val="0"/>
      <w:marBottom w:val="0"/>
      <w:divBdr>
        <w:top w:val="none" w:sz="0" w:space="0" w:color="auto"/>
        <w:left w:val="none" w:sz="0" w:space="0" w:color="auto"/>
        <w:bottom w:val="none" w:sz="0" w:space="0" w:color="auto"/>
        <w:right w:val="none" w:sz="0" w:space="0" w:color="auto"/>
      </w:divBdr>
    </w:div>
    <w:div w:id="792213814">
      <w:bodyDiv w:val="1"/>
      <w:marLeft w:val="0"/>
      <w:marRight w:val="0"/>
      <w:marTop w:val="0"/>
      <w:marBottom w:val="0"/>
      <w:divBdr>
        <w:top w:val="none" w:sz="0" w:space="0" w:color="auto"/>
        <w:left w:val="none" w:sz="0" w:space="0" w:color="auto"/>
        <w:bottom w:val="none" w:sz="0" w:space="0" w:color="auto"/>
        <w:right w:val="none" w:sz="0" w:space="0" w:color="auto"/>
      </w:divBdr>
    </w:div>
    <w:div w:id="831683701">
      <w:bodyDiv w:val="1"/>
      <w:marLeft w:val="0"/>
      <w:marRight w:val="0"/>
      <w:marTop w:val="0"/>
      <w:marBottom w:val="0"/>
      <w:divBdr>
        <w:top w:val="none" w:sz="0" w:space="0" w:color="auto"/>
        <w:left w:val="none" w:sz="0" w:space="0" w:color="auto"/>
        <w:bottom w:val="none" w:sz="0" w:space="0" w:color="auto"/>
        <w:right w:val="none" w:sz="0" w:space="0" w:color="auto"/>
      </w:divBdr>
    </w:div>
    <w:div w:id="873468170">
      <w:bodyDiv w:val="1"/>
      <w:marLeft w:val="0"/>
      <w:marRight w:val="0"/>
      <w:marTop w:val="0"/>
      <w:marBottom w:val="0"/>
      <w:divBdr>
        <w:top w:val="none" w:sz="0" w:space="0" w:color="auto"/>
        <w:left w:val="none" w:sz="0" w:space="0" w:color="auto"/>
        <w:bottom w:val="none" w:sz="0" w:space="0" w:color="auto"/>
        <w:right w:val="none" w:sz="0" w:space="0" w:color="auto"/>
      </w:divBdr>
    </w:div>
    <w:div w:id="1037127357">
      <w:bodyDiv w:val="1"/>
      <w:marLeft w:val="0"/>
      <w:marRight w:val="0"/>
      <w:marTop w:val="0"/>
      <w:marBottom w:val="0"/>
      <w:divBdr>
        <w:top w:val="none" w:sz="0" w:space="0" w:color="auto"/>
        <w:left w:val="none" w:sz="0" w:space="0" w:color="auto"/>
        <w:bottom w:val="none" w:sz="0" w:space="0" w:color="auto"/>
        <w:right w:val="none" w:sz="0" w:space="0" w:color="auto"/>
      </w:divBdr>
    </w:div>
    <w:div w:id="1155681560">
      <w:bodyDiv w:val="1"/>
      <w:marLeft w:val="0"/>
      <w:marRight w:val="0"/>
      <w:marTop w:val="0"/>
      <w:marBottom w:val="0"/>
      <w:divBdr>
        <w:top w:val="none" w:sz="0" w:space="0" w:color="auto"/>
        <w:left w:val="none" w:sz="0" w:space="0" w:color="auto"/>
        <w:bottom w:val="none" w:sz="0" w:space="0" w:color="auto"/>
        <w:right w:val="none" w:sz="0" w:space="0" w:color="auto"/>
      </w:divBdr>
    </w:div>
    <w:div w:id="1222641766">
      <w:bodyDiv w:val="1"/>
      <w:marLeft w:val="0"/>
      <w:marRight w:val="0"/>
      <w:marTop w:val="0"/>
      <w:marBottom w:val="0"/>
      <w:divBdr>
        <w:top w:val="none" w:sz="0" w:space="0" w:color="auto"/>
        <w:left w:val="none" w:sz="0" w:space="0" w:color="auto"/>
        <w:bottom w:val="none" w:sz="0" w:space="0" w:color="auto"/>
        <w:right w:val="none" w:sz="0" w:space="0" w:color="auto"/>
      </w:divBdr>
    </w:div>
    <w:div w:id="1250775795">
      <w:bodyDiv w:val="1"/>
      <w:marLeft w:val="0"/>
      <w:marRight w:val="0"/>
      <w:marTop w:val="0"/>
      <w:marBottom w:val="0"/>
      <w:divBdr>
        <w:top w:val="none" w:sz="0" w:space="0" w:color="auto"/>
        <w:left w:val="none" w:sz="0" w:space="0" w:color="auto"/>
        <w:bottom w:val="none" w:sz="0" w:space="0" w:color="auto"/>
        <w:right w:val="none" w:sz="0" w:space="0" w:color="auto"/>
      </w:divBdr>
    </w:div>
    <w:div w:id="1334338842">
      <w:bodyDiv w:val="1"/>
      <w:marLeft w:val="0"/>
      <w:marRight w:val="0"/>
      <w:marTop w:val="0"/>
      <w:marBottom w:val="0"/>
      <w:divBdr>
        <w:top w:val="none" w:sz="0" w:space="0" w:color="auto"/>
        <w:left w:val="none" w:sz="0" w:space="0" w:color="auto"/>
        <w:bottom w:val="none" w:sz="0" w:space="0" w:color="auto"/>
        <w:right w:val="none" w:sz="0" w:space="0" w:color="auto"/>
      </w:divBdr>
    </w:div>
    <w:div w:id="1436631881">
      <w:bodyDiv w:val="1"/>
      <w:marLeft w:val="0"/>
      <w:marRight w:val="0"/>
      <w:marTop w:val="0"/>
      <w:marBottom w:val="0"/>
      <w:divBdr>
        <w:top w:val="none" w:sz="0" w:space="0" w:color="auto"/>
        <w:left w:val="none" w:sz="0" w:space="0" w:color="auto"/>
        <w:bottom w:val="none" w:sz="0" w:space="0" w:color="auto"/>
        <w:right w:val="none" w:sz="0" w:space="0" w:color="auto"/>
      </w:divBdr>
    </w:div>
    <w:div w:id="1685782725">
      <w:bodyDiv w:val="1"/>
      <w:marLeft w:val="0"/>
      <w:marRight w:val="0"/>
      <w:marTop w:val="0"/>
      <w:marBottom w:val="0"/>
      <w:divBdr>
        <w:top w:val="none" w:sz="0" w:space="0" w:color="auto"/>
        <w:left w:val="none" w:sz="0" w:space="0" w:color="auto"/>
        <w:bottom w:val="none" w:sz="0" w:space="0" w:color="auto"/>
        <w:right w:val="none" w:sz="0" w:space="0" w:color="auto"/>
      </w:divBdr>
    </w:div>
    <w:div w:id="1690138648">
      <w:bodyDiv w:val="1"/>
      <w:marLeft w:val="0"/>
      <w:marRight w:val="0"/>
      <w:marTop w:val="0"/>
      <w:marBottom w:val="0"/>
      <w:divBdr>
        <w:top w:val="none" w:sz="0" w:space="0" w:color="auto"/>
        <w:left w:val="none" w:sz="0" w:space="0" w:color="auto"/>
        <w:bottom w:val="none" w:sz="0" w:space="0" w:color="auto"/>
        <w:right w:val="none" w:sz="0" w:space="0" w:color="auto"/>
      </w:divBdr>
    </w:div>
    <w:div w:id="1829250496">
      <w:bodyDiv w:val="1"/>
      <w:marLeft w:val="0"/>
      <w:marRight w:val="0"/>
      <w:marTop w:val="0"/>
      <w:marBottom w:val="0"/>
      <w:divBdr>
        <w:top w:val="none" w:sz="0" w:space="0" w:color="auto"/>
        <w:left w:val="none" w:sz="0" w:space="0" w:color="auto"/>
        <w:bottom w:val="none" w:sz="0" w:space="0" w:color="auto"/>
        <w:right w:val="none" w:sz="0" w:space="0" w:color="auto"/>
      </w:divBdr>
    </w:div>
    <w:div w:id="1835297653">
      <w:bodyDiv w:val="1"/>
      <w:marLeft w:val="0"/>
      <w:marRight w:val="0"/>
      <w:marTop w:val="0"/>
      <w:marBottom w:val="0"/>
      <w:divBdr>
        <w:top w:val="none" w:sz="0" w:space="0" w:color="auto"/>
        <w:left w:val="none" w:sz="0" w:space="0" w:color="auto"/>
        <w:bottom w:val="none" w:sz="0" w:space="0" w:color="auto"/>
        <w:right w:val="none" w:sz="0" w:space="0" w:color="auto"/>
      </w:divBdr>
    </w:div>
    <w:div w:id="1861429834">
      <w:bodyDiv w:val="1"/>
      <w:marLeft w:val="0"/>
      <w:marRight w:val="0"/>
      <w:marTop w:val="0"/>
      <w:marBottom w:val="0"/>
      <w:divBdr>
        <w:top w:val="none" w:sz="0" w:space="0" w:color="auto"/>
        <w:left w:val="none" w:sz="0" w:space="0" w:color="auto"/>
        <w:bottom w:val="none" w:sz="0" w:space="0" w:color="auto"/>
        <w:right w:val="none" w:sz="0" w:space="0" w:color="auto"/>
      </w:divBdr>
    </w:div>
    <w:div w:id="1925605257">
      <w:bodyDiv w:val="1"/>
      <w:marLeft w:val="0"/>
      <w:marRight w:val="0"/>
      <w:marTop w:val="0"/>
      <w:marBottom w:val="0"/>
      <w:divBdr>
        <w:top w:val="none" w:sz="0" w:space="0" w:color="auto"/>
        <w:left w:val="none" w:sz="0" w:space="0" w:color="auto"/>
        <w:bottom w:val="none" w:sz="0" w:space="0" w:color="auto"/>
        <w:right w:val="none" w:sz="0" w:space="0" w:color="auto"/>
      </w:divBdr>
    </w:div>
    <w:div w:id="1932739414">
      <w:bodyDiv w:val="1"/>
      <w:marLeft w:val="0"/>
      <w:marRight w:val="0"/>
      <w:marTop w:val="0"/>
      <w:marBottom w:val="0"/>
      <w:divBdr>
        <w:top w:val="none" w:sz="0" w:space="0" w:color="auto"/>
        <w:left w:val="none" w:sz="0" w:space="0" w:color="auto"/>
        <w:bottom w:val="none" w:sz="0" w:space="0" w:color="auto"/>
        <w:right w:val="none" w:sz="0" w:space="0" w:color="auto"/>
      </w:divBdr>
    </w:div>
    <w:div w:id="194453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aliadika@upnvj.ac.i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https://creativecommons.org/licenses/by-sa/4.0/" TargetMode="External"/><Relationship Id="rId2" Type="http://schemas.openxmlformats.org/officeDocument/2006/relationships/hyperlink" Target="https://portal.issn.org/resource/ISSN/2985-5128" TargetMode="External"/><Relationship Id="rId1" Type="http://schemas.openxmlformats.org/officeDocument/2006/relationships/image" Target="media/image2.pn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90782-67AC-4965-BD48-9FC96C25A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18</Pages>
  <Words>8137</Words>
  <Characters>46384</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Tim Reviewer</cp:lastModifiedBy>
  <cp:revision>18</cp:revision>
  <cp:lastPrinted>2026-09-20T03:58:00Z</cp:lastPrinted>
  <dcterms:created xsi:type="dcterms:W3CDTF">2026-09-20T03:22:00Z</dcterms:created>
  <dcterms:modified xsi:type="dcterms:W3CDTF">2026-09-24T04:25:00Z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http://www.zotero.org/styles/turabian-fullnote-bibliography-8th-edition</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61261122-dd4b-3773-a261-ad64a289e08e</vt:lpwstr>
  </property>
  <property fmtid="{D5CDD505-2E9C-101B-9397-08002B2CF9AE}" pid="24" name="Mendeley Citation Style_1">
    <vt:lpwstr>http://www.zotero.org/styles/chicago-fullnote-bibliography</vt:lpwstr>
  </property>
</Properties>
</file>